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FC6E" w14:textId="71275AA5" w:rsidR="001F6D12" w:rsidRDefault="001F6D12" w:rsidP="00A82DC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ERA 4.0</w:t>
      </w:r>
    </w:p>
    <w:p w14:paraId="5D97A1A0" w14:textId="4FF96036" w:rsidR="008E1B5B" w:rsidRDefault="008E1B5B" w:rsidP="008E1B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Revolusi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Industri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4.0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bercirikan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isu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tendensius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diantaranya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kreativitas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leadership dan entrepreneurship (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kewirausahaan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yang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mendobrak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"mindset"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revolusi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industri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berciri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efisiensi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transportasi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mengarahkan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memecahkan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masalah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"one stop shopping "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 one stop solution"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diperlukan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atmosf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dunia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lepas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lilitan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hambatan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birokrasi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dan</w:t>
      </w:r>
      <w:proofErr w:type="gram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soal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bekerja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tapi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mentalitas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pegawai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kerjanya</w:t>
      </w:r>
      <w:proofErr w:type="spellEnd"/>
      <w:r w:rsidRPr="005F1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Produsen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terintegrasi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mengoptimalkan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sekaligus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menyederhanakan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rantai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suplainya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Di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lain,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manufaktur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dioperasikan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digital juga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membuka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peluang-peluang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UKM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penyedia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sensor, robotic, 3D printing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komunikasi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antar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mesin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2061FA" w14:textId="77777777" w:rsidR="008E1B5B" w:rsidRDefault="008E1B5B" w:rsidP="008E1B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Istilah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4.0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pertama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kali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diperkenalkan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2011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Industrie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4.0" oleh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sekelompok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perwakilan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bidang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bisnis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politik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akademisi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) di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bawah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inisiatif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saing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Jerman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manufaktur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dunia.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Pemerintah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federal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Jerman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mengadopsi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gagasan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kedalam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kebijakan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nasional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dikenal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sebutan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“Strategi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Tinggi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2020”.</w:t>
      </w:r>
    </w:p>
    <w:p w14:paraId="7E5B680B" w14:textId="77777777" w:rsidR="008E1B5B" w:rsidRDefault="008E1B5B" w:rsidP="008E1B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B6402">
        <w:rPr>
          <w:rFonts w:ascii="Times New Roman" w:hAnsi="Times New Roman"/>
          <w:color w:val="000000"/>
          <w:sz w:val="24"/>
          <w:szCs w:val="24"/>
        </w:rPr>
        <w:t>4.0  4.0</w:t>
      </w:r>
      <w:proofErr w:type="gram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era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terbaru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mengacu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tiga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sebelumnya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industry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pertama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ditandai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pengenalan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pembangkitan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listrik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akhir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abad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ke-18,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industry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ditandai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industrialisasi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abad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ke-20,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industry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ketiga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ditandai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otomatisasi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elektronik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1970-an-2000.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4.0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istilah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seni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berarti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berbeda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orang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berbeda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tetapi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dasarnya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era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melibatkan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internet,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peningkatan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otomatisasi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canggih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konektivitas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fisik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maya ("CPS")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robotik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menciptakan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pabrik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pintar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"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manufaktur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pintar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>".</w:t>
      </w:r>
    </w:p>
    <w:p w14:paraId="13B35EFE" w14:textId="77777777" w:rsidR="008E1B5B" w:rsidRDefault="008E1B5B" w:rsidP="008E1B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Setidaknya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delapan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isu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kunci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terkait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"Industry 4.0",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disrupsi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gangguan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inovasi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produksi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ketimpangan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cerdas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kelola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keamanan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konflik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disrupsi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bisnis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kepaduan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isu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etnis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identitas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penyikapan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402">
        <w:rPr>
          <w:rFonts w:ascii="Times New Roman" w:hAnsi="Times New Roman"/>
          <w:color w:val="000000"/>
          <w:sz w:val="24"/>
          <w:szCs w:val="24"/>
        </w:rPr>
        <w:t xml:space="preserve">R 4.0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disandarkan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strategic </w:t>
      </w:r>
      <w:r>
        <w:rPr>
          <w:rFonts w:ascii="Times New Roman" w:hAnsi="Times New Roman"/>
          <w:color w:val="000000"/>
          <w:sz w:val="24"/>
          <w:szCs w:val="24"/>
        </w:rPr>
        <w:t xml:space="preserve">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menyangkut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: (1)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peluang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ekosistem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inovasi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(3) basis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kompetitif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(4)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investasi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dan (5)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mengintegrasikan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UKM &amp;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kewirausahaan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Sementara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tantangan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utama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menyikapi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R 4.0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terutama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oelh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kalangan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dunia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usaha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bidang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menyangkut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: (1)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kesiapan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tenaga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kerja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handal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(3)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peraturan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sosial-budaya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dikelola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dan (4)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diversifikasi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&amp;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penciptaan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34FE673" w14:textId="77777777" w:rsidR="008E1B5B" w:rsidRDefault="008E1B5B" w:rsidP="008E1B5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Di era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erdapat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9 (Sembilan) trends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keterampilan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sesuai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karakteristik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 4.0,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yaitu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(1)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Be open to change, be the change and be adaptable to change.</w:t>
      </w:r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(2)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Cognitive flexibility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(3)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Innovative and Adaptive thinking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(4)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Complex problem solving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(5)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Managing people the new age way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(6)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Virtual collaboration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(7)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Emotional intelligence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(8)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Advanced negotiation techniques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dan (9) 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Service orientation</w:t>
      </w:r>
      <w:r w:rsidRPr="001B6402">
        <w:rPr>
          <w:rFonts w:ascii="Times New Roman" w:hAnsi="Times New Roman"/>
          <w:bCs/>
          <w:color w:val="000000"/>
          <w:sz w:val="24"/>
          <w:szCs w:val="24"/>
        </w:rPr>
        <w:t xml:space="preserve"> and t</w:t>
      </w:r>
      <w:r w:rsidRPr="001B6402">
        <w:rPr>
          <w:rFonts w:ascii="Times New Roman" w:eastAsia="Times New Roman" w:hAnsi="Times New Roman"/>
          <w:bCs/>
          <w:color w:val="000000"/>
          <w:sz w:val="24"/>
          <w:szCs w:val="24"/>
        </w:rPr>
        <w:t>echnical entrepreneurship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14:paraId="0B48C21E" w14:textId="77777777" w:rsidR="008E1B5B" w:rsidRDefault="008E1B5B" w:rsidP="008E1B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Globalisasi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sekadar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menuntut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generasi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muda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berbahasa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asing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saja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namun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mempelajari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cara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aplikasi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komputer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- </w:t>
      </w:r>
      <w:r w:rsidRPr="001B6402">
        <w:rPr>
          <w:rFonts w:ascii="Times New Roman" w:eastAsia="Times New Roman" w:hAnsi="Times New Roman"/>
          <w:iCs/>
          <w:color w:val="000000"/>
          <w:sz w:val="24"/>
          <w:szCs w:val="24"/>
        </w:rPr>
        <w:t>smartphone</w:t>
      </w:r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'</w:t>
      </w:r>
      <w:r w:rsidRPr="001B6402">
        <w:rPr>
          <w:rFonts w:ascii="Times New Roman" w:eastAsia="Times New Roman" w:hAnsi="Times New Roman"/>
          <w:iCs/>
          <w:color w:val="000000"/>
          <w:sz w:val="24"/>
          <w:szCs w:val="24"/>
        </w:rPr>
        <w:t>kids zaman now'</w:t>
      </w:r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dididik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calon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r w:rsidRPr="001B6402">
        <w:rPr>
          <w:rFonts w:ascii="Times New Roman" w:eastAsia="Times New Roman" w:hAnsi="Times New Roman"/>
          <w:iCs/>
          <w:color w:val="000000"/>
          <w:sz w:val="24"/>
          <w:szCs w:val="24"/>
        </w:rPr>
        <w:t>technopreneur</w:t>
      </w:r>
      <w:proofErr w:type="gram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 xml:space="preserve"> pada masa </w:t>
      </w:r>
      <w:proofErr w:type="spellStart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depan</w:t>
      </w:r>
      <w:proofErr w:type="spellEnd"/>
      <w:r w:rsidRPr="001B640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Bertalian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terdekteksi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7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implikasi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langsung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 4.0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terhadap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perubahan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nilai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kemasyarakatan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yaitu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(1)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memudarnya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rasa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kekeluargaan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kegotongroyongan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(2)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meningkatnya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kompetisi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antar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baik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secara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individu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maupun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kelompok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(3)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menipisnya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toleransi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empati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antar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sesama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(4)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memicu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lahirnya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kompetensi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individualistis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kalangan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(5)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mendorong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lahirnya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segmentasi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kelompok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dinamis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(6)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semakin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meningginya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looser (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pecundang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terutama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pada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yang anti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dan (7)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menajamanya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segmentasi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kelompok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pekerja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antara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berskill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tinggi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mereka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ber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skill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rendah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4BA170" w14:textId="77777777" w:rsidR="008E1B5B" w:rsidRPr="00FB609D" w:rsidRDefault="008E1B5B" w:rsidP="008E1B5B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penyikapan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B6402">
        <w:rPr>
          <w:rFonts w:ascii="Times New Roman" w:hAnsi="Times New Roman"/>
          <w:color w:val="000000"/>
          <w:sz w:val="24"/>
          <w:szCs w:val="24"/>
        </w:rPr>
        <w:t xml:space="preserve">(1)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Reorientasi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Kurikulum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agar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merujuk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pada: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literasi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(data,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humanities)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dikembangkan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diajarkan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kegiatan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ekstra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kurikuler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pengembangan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kepemimpinan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bekerja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tim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agar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terus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dikembangkan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dan entrepreneurship dan internship agar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diwajibkan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Membangun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Unit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Khusus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Life-long Learning (agar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perguruan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tinggi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unit yang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khusus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memberikan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layanan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life-long learning, (3)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Pengembangan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Hybrid/Blended Learning, Online (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menerapkan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pengajaran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Hybrid/Blended Learning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SPADA-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IdREN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, dan (4)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kegiatan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Riset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produktif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pengembangan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modulasi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hilirisasi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6402"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 w:rsidRPr="001B6402">
        <w:rPr>
          <w:rFonts w:ascii="Times New Roman" w:hAnsi="Times New Roman"/>
          <w:color w:val="000000"/>
          <w:sz w:val="24"/>
          <w:szCs w:val="24"/>
        </w:rPr>
        <w:t xml:space="preserve"> dunia industry. </w:t>
      </w:r>
    </w:p>
    <w:p w14:paraId="7A39289F" w14:textId="77777777" w:rsidR="001F6D12" w:rsidRDefault="001F6D12" w:rsidP="008E1B5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E95CFD" w14:textId="7DD861A8" w:rsidR="00A82DCF" w:rsidRPr="00A82DCF" w:rsidRDefault="00A82DCF" w:rsidP="001F6D1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2DCF">
        <w:rPr>
          <w:rFonts w:ascii="Times New Roman" w:hAnsi="Times New Roman"/>
          <w:b/>
          <w:bCs/>
          <w:color w:val="000000"/>
          <w:sz w:val="24"/>
          <w:szCs w:val="24"/>
        </w:rPr>
        <w:t>HEUTAGOGY</w:t>
      </w:r>
    </w:p>
    <w:p w14:paraId="714F58C2" w14:textId="2CECE756" w:rsidR="00A82DCF" w:rsidRDefault="00A82DCF" w:rsidP="00A82DC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</w:pPr>
      <w:commentRangeStart w:id="0"/>
      <w:commentRangeStart w:id="1"/>
      <w:r>
        <w:rPr>
          <w:rFonts w:ascii="Times New Roman" w:hAnsi="Times New Roman"/>
          <w:i/>
          <w:iCs/>
          <w:color w:val="000000"/>
          <w:sz w:val="24"/>
          <w:szCs w:val="24"/>
          <w:rPrChange w:id="2" w:author="HP" w:date="2020-06-08T11:26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diucapkan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rPrChange w:id="3" w:author="HP" w:date="2020-06-08T11:2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hyo-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rPrChange w:id="4" w:author="HP" w:date="2020-06-08T11:2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toh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rPrChange w:id="5" w:author="HP" w:date="2020-06-08T11:2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rPrChange w:id="6" w:author="HP" w:date="2020-06-08T11:25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goh-jee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Bahasa Yunani ‘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rPrChange w:id="7" w:author="HP" w:date="2020-06-08T11:26:00Z">
            <w:rPr>
              <w:rFonts w:ascii="Times New Roman" w:hAnsi="Times New Roman"/>
              <w:color w:val="000000"/>
              <w:sz w:val="24"/>
              <w:szCs w:val="24"/>
            </w:rPr>
          </w:rPrChange>
        </w:rPr>
        <w:t>heuriskein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Yunani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etimologi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didefinisikan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C0D04FD" w14:textId="359F7CA3" w:rsidR="00A82DCF" w:rsidRDefault="00A82DCF" w:rsidP="00A82DC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Tokoh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awalnya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mengungkapkan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Kenyon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2001.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Mereka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menegaskan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bahwa</w:t>
      </w:r>
      <w:proofErr w:type="spellEnd"/>
      <w:r w:rsidR="008E1B5B"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ID" w:eastAsia="en-ID"/>
        </w:rPr>
        <w:t>heutagogy</w:t>
      </w:r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memberikan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kesempatan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kepada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pebelajar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menentukan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pilihan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secara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bebas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tentang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apa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dipelajari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dan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bagaimana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mempelajarinya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. </w:t>
      </w:r>
      <w:r w:rsidR="008E1B5B">
        <w:rPr>
          <w:rFonts w:ascii="Times New Roman" w:hAnsi="Times New Roman"/>
          <w:i/>
          <w:iCs/>
          <w:sz w:val="24"/>
          <w:szCs w:val="24"/>
        </w:rPr>
        <w:t>Heutagogy</w:t>
      </w:r>
      <w:r w:rsidR="008E1B5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proofErr w:type="gramStart"/>
      <w:r w:rsidR="008E1B5B">
        <w:rPr>
          <w:rFonts w:ascii="Times New Roman" w:hAnsi="Times New Roman"/>
          <w:sz w:val="24"/>
          <w:szCs w:val="24"/>
        </w:rPr>
        <w:t>merupakan</w:t>
      </w:r>
      <w:proofErr w:type="spellEnd"/>
      <w:r w:rsidR="008E1B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proses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heutagogy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menganggap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Jadi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dapat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dikatakan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pula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bahwa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ID" w:eastAsia="en-ID"/>
        </w:rPr>
        <w:t>heutagogy</w:t>
      </w:r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adalah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pendekatan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holistik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mengajarkan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siswa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bagaimana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belajar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dan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memperoleh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kompetensi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serta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keterampilan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mereka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butuhkan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bidang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mereka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pilih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. </w:t>
      </w:r>
      <w:r w:rsidR="008E1B5B">
        <w:rPr>
          <w:rFonts w:ascii="Times New Roman" w:eastAsia="Times New Roman" w:hAnsi="Times New Roman"/>
          <w:i/>
          <w:iCs/>
          <w:color w:val="222222"/>
          <w:sz w:val="24"/>
          <w:szCs w:val="24"/>
          <w:lang w:val="en-ID" w:eastAsia="en-ID"/>
        </w:rPr>
        <w:t>Heutagog</w:t>
      </w:r>
      <w:r w:rsidR="008E1B5B">
        <w:rPr>
          <w:rFonts w:ascii="Times New Roman" w:eastAsia="Times New Roman" w:hAnsi="Times New Roman"/>
          <w:i/>
          <w:iCs/>
          <w:color w:val="222222"/>
          <w:szCs w:val="24"/>
          <w:lang w:val="en-ID" w:eastAsia="en-ID"/>
        </w:rPr>
        <w:t>y</w:t>
      </w:r>
      <w:r w:rsidR="008E1B5B"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bisa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dianalogikan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sebagai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suatu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cara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menghidangkan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makanan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dengan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bentuk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prasmanan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, </w:t>
      </w:r>
      <w:r>
        <w:rPr>
          <w:rFonts w:ascii="Times New Roman" w:eastAsia="Times New Roman" w:hAnsi="Times New Roman"/>
          <w:color w:val="222222"/>
          <w:szCs w:val="24"/>
          <w:lang w:val="en-ID" w:eastAsia="en-ID"/>
        </w:rPr>
        <w:t>yang</w:t>
      </w:r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mana orang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menikmati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hidangan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memiliki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kebebasan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memilih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menu 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disantap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, media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apa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saja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yang pas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digunakan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dan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bagaimana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cara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menyantapnya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. Hal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ini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pun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relevan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mencapai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pendidikan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ideal di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abad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 21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>ini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ID" w:eastAsia="en-ID"/>
        </w:rPr>
        <w:t xml:space="preserve">. </w:t>
      </w:r>
    </w:p>
    <w:p w14:paraId="6A8510C9" w14:textId="755E2A51" w:rsidR="00A82DCF" w:rsidRDefault="00A82DCF" w:rsidP="00A82DC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ditopang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asumsi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filosofi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humanisme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konstruktivisme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disebutkan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gagasan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pusat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humanistik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heutagogical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menekankan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fleksibilitas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menyediakan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memfasilitasi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beragam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proyek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bermakna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berorientasi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pengalaman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hidupnya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dilibatkan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bermakna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terinternalisasi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8E1B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="008E1B5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heutagogy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menekankan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sifat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manusiawi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nilai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mengakui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antar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lawan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mengajar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menantang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berpikir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mendorong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guru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berpikir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proses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ketimbang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memungkinkan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memahami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dunia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daripada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dunia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gurunya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memaksa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guru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pindah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dunia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pembelajar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memungkinkan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guru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melampaui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teori-teori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11CF9A93" w14:textId="2D420A38" w:rsidR="00A82DCF" w:rsidRPr="008E1B5B" w:rsidRDefault="00A82DCF" w:rsidP="008E1B5B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dipandang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berpotensi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mengungkapkan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integrasi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keefektifan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peluang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lastRenderedPageBreak/>
        <w:t>Revolusi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turut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paradigma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4.0,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memunculkan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terminologi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, salah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t>satunya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t>konteks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8E1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1B5B"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1B5B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  <w:t>H</w:t>
      </w:r>
      <w:r w:rsidR="008E1B5B">
        <w:rPr>
          <w:rFonts w:ascii="Times New Roman" w:eastAsia="Times New Roman" w:hAnsi="Times New Roman"/>
          <w:i/>
          <w:iCs/>
          <w:color w:val="222222"/>
          <w:sz w:val="24"/>
          <w:szCs w:val="24"/>
          <w:lang w:val="id-ID" w:eastAsia="en-US"/>
        </w:rPr>
        <w:t>eutagog</w:t>
      </w:r>
      <w:r w:rsidR="008E1B5B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  <w:t>y</w:t>
      </w:r>
      <w:r w:rsidR="008E1B5B"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 xml:space="preserve">memberikan kerangka kerja yang menjanjikan untuk memanfaatkan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id-ID" w:eastAsia="en-US"/>
        </w:rPr>
        <w:t>tren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  <w:t>d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 xml:space="preserve"> yang berkembang ini, mengacu pada teori pendidikan yang berpusat pada peserta didik yang sangat menekankan otonomi peserta didik.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landasan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era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revolusi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4.0,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dimudahkan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mengakses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Kemudahan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langsung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peluang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penerapan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heutagogy (self-determined learning)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maksimal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demi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tercapainya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Pendidikan.</w:t>
      </w:r>
    </w:p>
    <w:p w14:paraId="6469AA67" w14:textId="70E902F6" w:rsidR="00A82DCF" w:rsidRDefault="00A82DCF" w:rsidP="00A82DCF">
      <w:pPr>
        <w:pStyle w:val="HTMLPreformatted"/>
        <w:spacing w:line="36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 xml:space="preserve">Prinsip-prinsip utama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id-ID" w:eastAsia="en-US"/>
        </w:rPr>
        <w:t>heutagog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  <w:t xml:space="preserve">y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adalah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pelajar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sebagai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agen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 xml:space="preserve">efikasi diri dan kapabilitas, refleksi dan metakognisi, dan pembelajaran </w:t>
      </w:r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yang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berubah-ubah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>memberikan landasan untuk merancang dan mengembangkan ekologi pembelajaran, yang potensinya dapat dimaksimalkan lebih lanjut melalui penggunaan media digital</w:t>
      </w:r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 xml:space="preserve">Kesuksesan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penerapan</w:t>
      </w:r>
      <w:proofErr w:type="spellEnd"/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val="id-ID" w:eastAsia="en-US"/>
        </w:rPr>
        <w:t xml:space="preserve"> heutagog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en-US"/>
        </w:rPr>
        <w:t>y</w:t>
      </w:r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dalam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dunia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>pendidikan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id-ID" w:eastAsia="en-US"/>
        </w:rPr>
        <w:t>tidak hanya ditentukan oleh peran teknologi, tetapi juga perubahan pola pikir untuk mencari peluang menimba ilmu di komunitas melalui jejaring sosial</w:t>
      </w:r>
      <w:r w:rsidR="00CE12C5">
        <w:rPr>
          <w:rFonts w:ascii="Times New Roman" w:hAnsi="Times New Roman"/>
          <w:sz w:val="24"/>
          <w:szCs w:val="24"/>
        </w:rPr>
        <w:t>.</w:t>
      </w:r>
    </w:p>
    <w:p w14:paraId="44BB29AE" w14:textId="77777777" w:rsidR="00A82DCF" w:rsidRDefault="00A82DCF" w:rsidP="00A82DCF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Pada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keyakinan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terbangun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bertanggung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jawab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tentukan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meskipun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tetap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terlibat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pembimbingan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misalnya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pemberian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reflektif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mengarahkan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memecahkan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persoalan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dihadapi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B3AC024" w14:textId="0F18A6C0" w:rsidR="00A82DCF" w:rsidRDefault="00A82DCF" w:rsidP="00A82DCF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prinsip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antaranya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dilibatkan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negosiasi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kurikulum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fleksibel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fokus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implikasi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ditempuh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evaluasi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partisipatif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mengisi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lain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self reflection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7EA0D4D" w14:textId="05730836" w:rsidR="00A82DCF" w:rsidRDefault="00A82DCF" w:rsidP="00A82DCF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Kolaborasi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menyediakan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mengelola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Akhirnya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heutagogy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sinilah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potensi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sebenarnya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sintesis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Pengulangan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diperlukan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pindah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memori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jangka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memori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jangka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panjang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reflection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pemberian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pemertahanan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investigatif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90EBF15" w14:textId="35C55CB3" w:rsidR="00BB3781" w:rsidRDefault="00BB3781" w:rsidP="00BB3781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821139" w14:textId="29174D7E" w:rsidR="00BB3781" w:rsidRPr="00BB3781" w:rsidRDefault="00BB3781" w:rsidP="00BB3781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3781">
        <w:rPr>
          <w:rFonts w:ascii="Times New Roman" w:hAnsi="Times New Roman"/>
          <w:b/>
          <w:bCs/>
          <w:color w:val="000000"/>
          <w:sz w:val="24"/>
          <w:szCs w:val="24"/>
        </w:rPr>
        <w:t>PENDIDIKAN DASAR</w:t>
      </w:r>
    </w:p>
    <w:p w14:paraId="022FDCFD" w14:textId="330B52C6" w:rsidR="00BB3781" w:rsidRPr="00BB3781" w:rsidRDefault="00BB3781" w:rsidP="00BB3781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</w:pP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P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menduduki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peranan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penting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dalam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upaya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meningkatkan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kualitas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baik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sosial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intelektual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spiritual,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maupun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kemampuan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profesional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M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merupakan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kekuatan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utama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pembangunan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. D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demikian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,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kualitas, proses,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sistem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menentukan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tingkat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keberhasilan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pembangunan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Hanya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sistem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baik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bermutu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dapat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meningkatkan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kualitas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kualitas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kehidupan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Penyempurnaan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peningkatan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mutu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dilakukan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merupakan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tujuan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utama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pembangunan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Selain itu,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Sistem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Pendidikan Nasional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harus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mampu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menjamin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pemerataan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kesempatan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peningkatan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mutu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relevansi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ef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ektifitas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manajemen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Pendidikan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nasional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harus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dapat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memberdayakan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semua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warga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negara Indonesia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untuk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berkembang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menjadi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berkualitas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sehingga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mampu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proaktif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menjawab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tantangan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zaman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selalu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berubah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0F4150FF" w14:textId="60EB122E" w:rsidR="00CE12C5" w:rsidRPr="00BB3781" w:rsidRDefault="00CE12C5" w:rsidP="00BB3781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</w:pP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Pendidikan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merupakan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bertujuan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mengembangkan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kompetensi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minimal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harus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dimiliki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warga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negara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sesuai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tuntutan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perubahan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kehidupan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lokal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nasional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global. Oleh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karena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perlu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dilakukan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pembaharuan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secara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terencana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terarah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berkesinambungan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Selain itu, k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ompetensi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l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ulusan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pada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setiap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jenjang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dikembangkan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memenuhi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tuntutan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kebutuhan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kompetensi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abad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21,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persaingan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semakin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mengglobal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kebutuhan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lokal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nasional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Indonesia. 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Oleh karena itu,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pendidikan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Sekolah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Dasar (SD)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mempunyai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peranan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sangat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penting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dan strategis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upaya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pembentukan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kualitas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manusia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Indonesia (SDM) yang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berkarakter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terampil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kritis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dan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cerdas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S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elaras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dengan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tujuan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pendidikan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nasional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 xml:space="preserve"> dan posisi strategisnya, maka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v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isi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pedidikan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SD </w:t>
      </w:r>
      <w:proofErr w:type="spellStart"/>
      <w:r w:rsidR="00BB3781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yakni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mengembangkan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manusia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beriman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bertakwa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kepada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Tuhan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Maha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Esa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k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hlak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mulia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sehat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berilmu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cakap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kreatif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mandiri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val="id-ID" w:eastAsia="id-ID"/>
        </w:rPr>
        <w:t>,</w:t>
      </w:r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menjadi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warga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negara yang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demokratis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bertanggung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jawab</w:t>
      </w:r>
      <w:proofErr w:type="spellEnd"/>
      <w:r w:rsidRPr="006C15D8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Sedangkan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misi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das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ar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(SD)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adalah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menyiapkan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landasan-landasan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nilai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pengetahuan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keterampilan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kuat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bagi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siswa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Landasan-landasan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merupakan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modal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</w:t>
      </w:r>
      <w:r w:rsidRPr="006C15D8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human capital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diperlukan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memperoleh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pengetahuan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baru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nilai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baru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keterampilan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keahlian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baru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diperlukan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hidup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bersama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membangun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masyarakatnya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Pengetahuan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keahlian-keahlian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berkembang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sedemikian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cepat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seiring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tahap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perubahan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perkembangan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masyarakat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membutuhkan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57CD03B4" w14:textId="77777777" w:rsidR="00CE12C5" w:rsidRPr="006C15D8" w:rsidRDefault="00CE12C5" w:rsidP="00CE12C5">
      <w:pPr>
        <w:autoSpaceDE w:val="0"/>
        <w:spacing w:after="0" w:line="360" w:lineRule="auto"/>
        <w:ind w:right="-3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Hal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ini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se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jalan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tujuan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yaitu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memenuhi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kebutuhan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setiap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manusia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dalam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mempersiapkan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kehidupannya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lebih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baik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di masa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mendatang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Dengan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demikian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harus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dapat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mengembangkan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kepribadian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sikap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keterampilan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diperlukan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hidup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mengikuti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lebih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lanjut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Secara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praktis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setidak-tidaknya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terdapat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tiga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tujuan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utama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penyelenggaraan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yaitu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</w:p>
    <w:p w14:paraId="6F13EBA7" w14:textId="77777777" w:rsidR="00CE12C5" w:rsidRPr="006C15D8" w:rsidRDefault="00CE12C5" w:rsidP="00CE12C5">
      <w:pPr>
        <w:numPr>
          <w:ilvl w:val="0"/>
          <w:numId w:val="1"/>
        </w:numPr>
        <w:suppressAutoHyphens/>
        <w:autoSpaceDE w:val="0"/>
        <w:spacing w:after="0" w:line="360" w:lineRule="auto"/>
        <w:ind w:left="426" w:right="-3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Menghasilkan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lulusan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mempunyai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dasar-dasar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karakter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kecakapan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keterampilan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,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serta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pengetahuan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kuat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dan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memadai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untuk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mengembangkan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potensi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dirinya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siswa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secara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optimal.</w:t>
      </w:r>
    </w:p>
    <w:p w14:paraId="6A4448A5" w14:textId="77777777" w:rsidR="00CE12C5" w:rsidRPr="006C15D8" w:rsidRDefault="00CE12C5" w:rsidP="00CE12C5">
      <w:pPr>
        <w:numPr>
          <w:ilvl w:val="0"/>
          <w:numId w:val="1"/>
        </w:numPr>
        <w:suppressAutoHyphens/>
        <w:autoSpaceDE w:val="0"/>
        <w:spacing w:after="0" w:line="360" w:lineRule="auto"/>
        <w:ind w:left="426" w:right="-3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Memenuhi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tuntutan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peningkatan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mutu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lulusan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sebagai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val="id-ID" w:eastAsia="en-US"/>
        </w:rPr>
        <w:t>n</w:t>
      </w:r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put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bagi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jenjang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pendidikan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selanjutnya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14:paraId="58A3E032" w14:textId="77777777" w:rsidR="00CE12C5" w:rsidRPr="006C15D8" w:rsidRDefault="00CE12C5" w:rsidP="00CE12C5">
      <w:pPr>
        <w:numPr>
          <w:ilvl w:val="0"/>
          <w:numId w:val="1"/>
        </w:numPr>
        <w:suppressAutoHyphens/>
        <w:autoSpaceDE w:val="0"/>
        <w:spacing w:after="0" w:line="360" w:lineRule="auto"/>
        <w:ind w:left="426" w:right="-3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Menghasilkan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lulusan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yang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dapat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mengembangkan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kapasitasnya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secara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penuh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serta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mampu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berpartisipasi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dalam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pembangunan</w:t>
      </w:r>
      <w:proofErr w:type="spellEnd"/>
      <w:r w:rsidRPr="006C15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14:paraId="7C4069C6" w14:textId="77777777" w:rsidR="009068B7" w:rsidRDefault="009068B7"/>
    <w:sectPr w:rsidR="009068B7" w:rsidSect="0063045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nn Wahyudin" w:date="2020-04-09T08:39:00Z" w:initials="DW">
    <w:p w14:paraId="3AE59D8B" w14:textId="77777777" w:rsidR="00A82DCF" w:rsidRDefault="00A82DCF" w:rsidP="00A82DCF">
      <w:pPr>
        <w:pStyle w:val="CommentText"/>
        <w:tabs>
          <w:tab w:val="left" w:pos="720"/>
        </w:tabs>
      </w:pPr>
      <w:r>
        <w:rPr>
          <w:rStyle w:val="CommentReference"/>
        </w:rPr>
        <w:annotationRef/>
      </w:r>
      <w:proofErr w:type="spellStart"/>
      <w:r>
        <w:t>Kalimat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baiknya</w:t>
      </w:r>
      <w:proofErr w:type="spellEnd"/>
      <w:r>
        <w:t xml:space="preserve"> </w:t>
      </w:r>
      <w:proofErr w:type="spellStart"/>
      <w:proofErr w:type="gramStart"/>
      <w:r>
        <w:t>ditulis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awal</w:t>
      </w:r>
      <w:proofErr w:type="spellEnd"/>
      <w:r>
        <w:t xml:space="preserve"> </w:t>
      </w:r>
    </w:p>
  </w:comment>
  <w:comment w:id="1" w:author="Dinn Wahyudin" w:date="2020-04-09T08:40:00Z" w:initials="DW">
    <w:p w14:paraId="15D9B4DE" w14:textId="77777777" w:rsidR="00A82DCF" w:rsidRDefault="00A82DCF" w:rsidP="00A82DCF">
      <w:pPr>
        <w:pStyle w:val="CommentText"/>
        <w:tabs>
          <w:tab w:val="left" w:pos="720"/>
        </w:tabs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E59D8B" w15:done="0"/>
  <w15:commentEx w15:paraId="15D9B4DE" w15:paraIdParent="3AE59D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A2D4" w16cex:dateUtc="2021-08-09T04:49:00Z"/>
  <w16cex:commentExtensible w16cex:durableId="24BBA2D5" w16cex:dateUtc="2021-08-09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E59D8B" w16cid:durableId="24BBA2D4"/>
  <w16cid:commentId w16cid:paraId="15D9B4DE" w16cid:durableId="24BBA2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0FB2" w14:textId="77777777" w:rsidR="00902BB6" w:rsidRDefault="00902BB6" w:rsidP="00CE12C5">
      <w:pPr>
        <w:spacing w:after="0" w:line="240" w:lineRule="auto"/>
      </w:pPr>
      <w:r>
        <w:separator/>
      </w:r>
    </w:p>
  </w:endnote>
  <w:endnote w:type="continuationSeparator" w:id="0">
    <w:p w14:paraId="2D329480" w14:textId="77777777" w:rsidR="00902BB6" w:rsidRDefault="00902BB6" w:rsidP="00CE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C932" w14:textId="77777777" w:rsidR="00902BB6" w:rsidRDefault="00902BB6" w:rsidP="00CE12C5">
      <w:pPr>
        <w:spacing w:after="0" w:line="240" w:lineRule="auto"/>
      </w:pPr>
      <w:r>
        <w:separator/>
      </w:r>
    </w:p>
  </w:footnote>
  <w:footnote w:type="continuationSeparator" w:id="0">
    <w:p w14:paraId="075682CB" w14:textId="77777777" w:rsidR="00902BB6" w:rsidRDefault="00902BB6" w:rsidP="00CE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CF"/>
    <w:rsid w:val="001F6D12"/>
    <w:rsid w:val="003174B9"/>
    <w:rsid w:val="00630452"/>
    <w:rsid w:val="008E1B5B"/>
    <w:rsid w:val="00902BB6"/>
    <w:rsid w:val="009068B7"/>
    <w:rsid w:val="00A82DCF"/>
    <w:rsid w:val="00BB3781"/>
    <w:rsid w:val="00C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C99F6"/>
  <w15:chartTrackingRefBased/>
  <w15:docId w15:val="{31E812C4-1F1B-47F5-9BD4-A23B4A0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CF"/>
    <w:pPr>
      <w:spacing w:after="200" w:line="276" w:lineRule="auto"/>
    </w:pPr>
    <w:rPr>
      <w:rFonts w:ascii="Calibri" w:eastAsia="Malgun Gothic" w:hAnsi="Calibri" w:cs="Times New Roman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DCF"/>
    <w:rPr>
      <w:rFonts w:ascii="Consolas" w:eastAsia="Malgun Gothic" w:hAnsi="Consolas" w:cs="Times New Roman"/>
      <w:sz w:val="20"/>
      <w:szCs w:val="20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CF"/>
    <w:rPr>
      <w:rFonts w:ascii="Calibri" w:eastAsia="Malgun Gothic" w:hAnsi="Calibri" w:cs="Times New Roman"/>
      <w:sz w:val="20"/>
      <w:szCs w:val="20"/>
      <w:lang w:eastAsia="ko-KR"/>
    </w:rPr>
  </w:style>
  <w:style w:type="character" w:styleId="CommentReference">
    <w:name w:val="annotation reference"/>
    <w:uiPriority w:val="99"/>
    <w:semiHidden/>
    <w:unhideWhenUsed/>
    <w:rsid w:val="00A82DCF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2D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C5"/>
    <w:rPr>
      <w:rFonts w:ascii="Calibri" w:eastAsia="Malgun Gothic" w:hAnsi="Calibri" w:cs="Times New Roman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E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C5"/>
    <w:rPr>
      <w:rFonts w:ascii="Calibri" w:eastAsia="Malgun Gothic" w:hAnsi="Calibri" w:cs="Times New Roman"/>
      <w:sz w:val="22"/>
      <w:lang w:eastAsia="ko-KR"/>
    </w:rPr>
  </w:style>
  <w:style w:type="character" w:styleId="SubtleEmphasis">
    <w:name w:val="Subtle Emphasis"/>
    <w:basedOn w:val="DefaultParagraphFont"/>
    <w:uiPriority w:val="19"/>
    <w:qFormat/>
    <w:rsid w:val="00CE12C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2021-08-09T04:49:00Z</dcterms:created>
  <dcterms:modified xsi:type="dcterms:W3CDTF">2021-08-09T05:43:00Z</dcterms:modified>
</cp:coreProperties>
</file>