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44CD3" w14:textId="6D7E860E" w:rsidR="00DB24B3" w:rsidRPr="008C07FA" w:rsidRDefault="0078527E" w:rsidP="00050A0D">
      <w:pPr>
        <w:spacing w:after="0" w:line="240" w:lineRule="auto"/>
        <w:jc w:val="center"/>
        <w:rPr>
          <w:rFonts w:ascii="Times New Roman" w:hAnsi="Times New Roman" w:cs="Times New Roman"/>
          <w:b/>
          <w:sz w:val="28"/>
          <w:szCs w:val="28"/>
          <w:lang w:val="en-US"/>
        </w:rPr>
      </w:pPr>
      <w:r w:rsidRPr="0078527E">
        <w:rPr>
          <w:rStyle w:val="Strong"/>
          <w:rFonts w:ascii="Times New Roman" w:hAnsi="Times New Roman" w:cs="Times New Roman"/>
          <w:sz w:val="28"/>
          <w:szCs w:val="28"/>
        </w:rPr>
        <w:t xml:space="preserve">The Effectiveness of Mobile Learning Teaching Materials based </w:t>
      </w:r>
      <w:bookmarkStart w:id="0" w:name="_Hlk169687822"/>
      <w:r w:rsidRPr="0078527E">
        <w:rPr>
          <w:rStyle w:val="Strong"/>
          <w:rFonts w:ascii="Times New Roman" w:hAnsi="Times New Roman" w:cs="Times New Roman"/>
          <w:sz w:val="28"/>
          <w:szCs w:val="28"/>
        </w:rPr>
        <w:t>Education Sustainable Development</w:t>
      </w:r>
      <w:bookmarkEnd w:id="0"/>
      <w:r w:rsidRPr="0078527E">
        <w:rPr>
          <w:rStyle w:val="Strong"/>
          <w:rFonts w:ascii="Times New Roman" w:hAnsi="Times New Roman" w:cs="Times New Roman"/>
          <w:sz w:val="28"/>
          <w:szCs w:val="28"/>
        </w:rPr>
        <w:t xml:space="preserve"> in Eco Friendly Technology to Improve Environmental Literacy</w:t>
      </w:r>
      <w:r>
        <w:rPr>
          <w:rStyle w:val="Strong"/>
          <w:rFonts w:ascii="Times New Roman" w:hAnsi="Times New Roman" w:cs="Times New Roman"/>
          <w:sz w:val="28"/>
          <w:szCs w:val="28"/>
          <w:lang w:val="en-US"/>
        </w:rPr>
        <w:t xml:space="preserve"> </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605BAA3F"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78527E">
        <w:rPr>
          <w:rFonts w:ascii="Times New Roman" w:hAnsi="Times New Roman" w:cs="Times New Roman"/>
          <w:b/>
          <w:sz w:val="24"/>
          <w:szCs w:val="24"/>
          <w:vertAlign w:val="superscript"/>
          <w:lang w:val="en-US"/>
        </w:rPr>
        <w:t>*</w:t>
      </w:r>
      <w:r w:rsidR="0078527E" w:rsidRPr="0078527E">
        <w:t xml:space="preserve"> </w:t>
      </w:r>
      <w:r w:rsidR="0078527E" w:rsidRPr="0078527E">
        <w:rPr>
          <w:rFonts w:ascii="Times New Roman" w:hAnsi="Times New Roman" w:cs="Times New Roman"/>
          <w:b/>
          <w:sz w:val="24"/>
          <w:szCs w:val="24"/>
          <w:lang w:val="en-US"/>
        </w:rPr>
        <w:t>Syifa Qalbiyatul Layyinah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78527E" w:rsidRPr="0078527E">
        <w:t xml:space="preserve"> </w:t>
      </w:r>
      <w:r w:rsidR="0078527E" w:rsidRPr="0078527E">
        <w:rPr>
          <w:rFonts w:ascii="Times New Roman" w:hAnsi="Times New Roman" w:cs="Times New Roman"/>
          <w:b/>
          <w:sz w:val="24"/>
          <w:szCs w:val="24"/>
          <w:lang w:val="en-US"/>
        </w:rPr>
        <w:t>Parlindungan Sinaga</w:t>
      </w:r>
      <w:r>
        <w:rPr>
          <w:rFonts w:ascii="Times New Roman" w:hAnsi="Times New Roman" w:cs="Times New Roman"/>
          <w:b/>
          <w:sz w:val="24"/>
          <w:szCs w:val="24"/>
          <w:lang w:val="en-US"/>
        </w:rPr>
        <w:t xml:space="preserve">, </w:t>
      </w:r>
      <w:r w:rsidR="0078527E">
        <w:rPr>
          <w:rFonts w:ascii="Times New Roman" w:hAnsi="Times New Roman" w:cs="Times New Roman"/>
          <w:b/>
          <w:sz w:val="24"/>
          <w:szCs w:val="24"/>
          <w:vertAlign w:val="superscript"/>
          <w:lang w:val="en-US"/>
        </w:rPr>
        <w:t>3</w:t>
      </w:r>
      <w:r w:rsidR="0078527E" w:rsidRPr="0078527E">
        <w:t xml:space="preserve"> </w:t>
      </w:r>
      <w:r w:rsidR="0078527E" w:rsidRPr="0078527E">
        <w:rPr>
          <w:rFonts w:ascii="Times New Roman" w:hAnsi="Times New Roman" w:cs="Times New Roman"/>
          <w:b/>
          <w:sz w:val="24"/>
          <w:szCs w:val="24"/>
          <w:lang w:val="en-US"/>
        </w:rPr>
        <w:t xml:space="preserve">Amprasto </w:t>
      </w:r>
    </w:p>
    <w:p w14:paraId="30EAE7A5" w14:textId="77777777" w:rsidR="0078527E" w:rsidRDefault="0078527E" w:rsidP="00050A0D">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lang w:val="en-US"/>
        </w:rPr>
        <w:t>Science</w:t>
      </w:r>
      <w:r w:rsidR="00C32089">
        <w:rPr>
          <w:rFonts w:ascii="Times New Roman" w:eastAsia="Times New Roman" w:hAnsi="Times New Roman" w:cs="Times New Roman"/>
          <w:iCs/>
          <w:color w:val="000000"/>
          <w:sz w:val="24"/>
          <w:szCs w:val="24"/>
          <w:bdr w:val="none" w:sz="0" w:space="0" w:color="auto" w:frame="1"/>
          <w:lang w:val="en-US"/>
        </w:rPr>
        <w:t xml:space="preserve"> Education Department, </w:t>
      </w:r>
      <w:r w:rsidR="00C32089" w:rsidRPr="009F04DB">
        <w:rPr>
          <w:rFonts w:ascii="Times New Roman" w:eastAsia="Times New Roman" w:hAnsi="Times New Roman" w:cs="Times New Roman"/>
          <w:iCs/>
          <w:color w:val="000000"/>
          <w:sz w:val="24"/>
          <w:szCs w:val="24"/>
          <w:bdr w:val="none" w:sz="0" w:space="0" w:color="auto" w:frame="1"/>
        </w:rPr>
        <w:t>F</w:t>
      </w:r>
      <w:r w:rsidR="00C32089">
        <w:rPr>
          <w:rFonts w:ascii="Times New Roman" w:eastAsia="Times New Roman" w:hAnsi="Times New Roman" w:cs="Times New Roman"/>
          <w:iCs/>
          <w:color w:val="000000"/>
          <w:sz w:val="24"/>
          <w:szCs w:val="24"/>
          <w:bdr w:val="none" w:sz="0" w:space="0" w:color="auto" w:frame="1"/>
          <w:lang w:val="en-US"/>
        </w:rPr>
        <w:t>aculty of Mathematics and Science Education</w:t>
      </w:r>
      <w:r w:rsidR="00C32089">
        <w:rPr>
          <w:rFonts w:ascii="Times New Roman" w:eastAsia="Times New Roman" w:hAnsi="Times New Roman" w:cs="Times New Roman"/>
          <w:iCs/>
          <w:color w:val="000000"/>
          <w:sz w:val="24"/>
          <w:szCs w:val="24"/>
          <w:bdr w:val="none" w:sz="0" w:space="0" w:color="auto" w:frame="1"/>
        </w:rPr>
        <w:t xml:space="preserve">, </w:t>
      </w:r>
      <w:r w:rsidRPr="0078527E">
        <w:rPr>
          <w:rFonts w:ascii="Times New Roman" w:eastAsia="Times New Roman" w:hAnsi="Times New Roman" w:cs="Times New Roman"/>
          <w:iCs/>
          <w:color w:val="000000"/>
          <w:sz w:val="24"/>
          <w:szCs w:val="24"/>
          <w:bdr w:val="none" w:sz="0" w:space="0" w:color="auto" w:frame="1"/>
        </w:rPr>
        <w:t>Indonesia University of Education</w:t>
      </w:r>
      <w:r w:rsidR="00C32089">
        <w:rPr>
          <w:rFonts w:ascii="Times New Roman" w:eastAsia="Times New Roman" w:hAnsi="Times New Roman" w:cs="Times New Roman"/>
          <w:iCs/>
          <w:color w:val="000000"/>
          <w:sz w:val="24"/>
          <w:szCs w:val="24"/>
          <w:bdr w:val="none" w:sz="0" w:space="0" w:color="auto" w:frame="1"/>
        </w:rPr>
        <w:t>.</w:t>
      </w:r>
      <w:r w:rsidR="00C32089" w:rsidRPr="009F04DB">
        <w:rPr>
          <w:rFonts w:ascii="Times New Roman" w:eastAsia="Times New Roman" w:hAnsi="Times New Roman" w:cs="Times New Roman"/>
          <w:iCs/>
          <w:color w:val="000000"/>
          <w:sz w:val="24"/>
          <w:szCs w:val="24"/>
          <w:bdr w:val="none" w:sz="0" w:space="0" w:color="auto" w:frame="1"/>
        </w:rPr>
        <w:t xml:space="preserve"> </w:t>
      </w:r>
    </w:p>
    <w:p w14:paraId="674AC182" w14:textId="3BD326AE" w:rsidR="005052FB" w:rsidRPr="008C07FA" w:rsidRDefault="0078527E" w:rsidP="00050A0D">
      <w:pPr>
        <w:spacing w:after="0" w:line="240" w:lineRule="auto"/>
        <w:jc w:val="center"/>
        <w:rPr>
          <w:rFonts w:ascii="Times New Roman" w:hAnsi="Times New Roman" w:cs="Times New Roman"/>
          <w:color w:val="000000" w:themeColor="text1"/>
          <w:sz w:val="24"/>
          <w:szCs w:val="24"/>
        </w:rPr>
      </w:pPr>
      <w:r w:rsidRPr="0078527E">
        <w:rPr>
          <w:rFonts w:ascii="Times New Roman" w:eastAsia="Times New Roman" w:hAnsi="Times New Roman" w:cs="Times New Roman"/>
          <w:iCs/>
          <w:color w:val="000000"/>
          <w:sz w:val="24"/>
          <w:szCs w:val="24"/>
          <w:bdr w:val="none" w:sz="0" w:space="0" w:color="auto" w:frame="1"/>
        </w:rPr>
        <w:t>Jl. Dr. Setiabudi No.229, Isola, Bandung, West Java</w:t>
      </w:r>
      <w:r>
        <w:rPr>
          <w:rFonts w:ascii="Times New Roman" w:eastAsia="Times New Roman" w:hAnsi="Times New Roman" w:cs="Times New Roman"/>
          <w:iCs/>
          <w:color w:val="000000"/>
          <w:sz w:val="24"/>
          <w:szCs w:val="24"/>
          <w:bdr w:val="none" w:sz="0" w:space="0" w:color="auto" w:frame="1"/>
          <w:lang w:val="en-US"/>
        </w:rPr>
        <w:t xml:space="preserve">, </w:t>
      </w:r>
      <w:r w:rsidR="00C32089" w:rsidRPr="009F04DB">
        <w:rPr>
          <w:rFonts w:ascii="Times New Roman" w:eastAsia="Times New Roman" w:hAnsi="Times New Roman" w:cs="Times New Roman"/>
          <w:iCs/>
          <w:color w:val="000000"/>
          <w:sz w:val="24"/>
          <w:szCs w:val="24"/>
          <w:bdr w:val="none" w:sz="0" w:space="0" w:color="auto" w:frame="1"/>
        </w:rPr>
        <w:t>Indonesia</w:t>
      </w:r>
      <w:r w:rsidR="00C32089">
        <w:rPr>
          <w:rFonts w:ascii="Times New Roman" w:eastAsia="Times New Roman" w:hAnsi="Times New Roman" w:cs="Times New Roman"/>
          <w:iCs/>
          <w:color w:val="000000"/>
          <w:sz w:val="24"/>
          <w:szCs w:val="24"/>
          <w:bdr w:val="none" w:sz="0" w:space="0" w:color="auto" w:frame="1"/>
          <w:lang w:val="en-US"/>
        </w:rPr>
        <w:t>.</w:t>
      </w:r>
      <w:r w:rsidR="00C32089" w:rsidRPr="009F04DB">
        <w:rPr>
          <w:rFonts w:ascii="Times New Roman" w:eastAsia="Times New Roman" w:hAnsi="Times New Roman" w:cs="Times New Roman"/>
          <w:iCs/>
          <w:color w:val="000000"/>
          <w:sz w:val="24"/>
          <w:szCs w:val="24"/>
          <w:bdr w:val="none" w:sz="0" w:space="0" w:color="auto" w:frame="1"/>
        </w:rPr>
        <w:t xml:space="preserve"> </w:t>
      </w:r>
      <w:r w:rsidR="00C32089">
        <w:rPr>
          <w:rFonts w:ascii="Times New Roman" w:eastAsia="Times New Roman" w:hAnsi="Times New Roman" w:cs="Times New Roman"/>
          <w:iCs/>
          <w:color w:val="000000"/>
          <w:sz w:val="24"/>
          <w:szCs w:val="24"/>
          <w:bdr w:val="none" w:sz="0" w:space="0" w:color="auto" w:frame="1"/>
          <w:lang w:val="en-US"/>
        </w:rPr>
        <w:t xml:space="preserve">Postal code: </w:t>
      </w:r>
      <w:r w:rsidRPr="0078527E">
        <w:rPr>
          <w:rFonts w:ascii="Times New Roman" w:eastAsia="Times New Roman" w:hAnsi="Times New Roman" w:cs="Times New Roman"/>
          <w:iCs/>
          <w:color w:val="000000"/>
          <w:sz w:val="24"/>
          <w:szCs w:val="24"/>
          <w:bdr w:val="none" w:sz="0" w:space="0" w:color="auto" w:frame="1"/>
        </w:rPr>
        <w:t>40154</w:t>
      </w:r>
      <w:r w:rsidR="00C32089" w:rsidRPr="009F04DB">
        <w:rPr>
          <w:rFonts w:ascii="Times New Roman" w:eastAsia="Times New Roman" w:hAnsi="Times New Roman" w:cs="Times New Roman"/>
          <w:iCs/>
          <w:color w:val="000000"/>
          <w:sz w:val="24"/>
          <w:szCs w:val="24"/>
          <w:bdr w:val="none" w:sz="0" w:space="0" w:color="auto" w:frame="1"/>
        </w:rPr>
        <w:t xml:space="preserve"> </w:t>
      </w:r>
    </w:p>
    <w:p w14:paraId="39EE926F" w14:textId="120C3028" w:rsidR="005052FB" w:rsidRPr="00C32089" w:rsidRDefault="005052FB" w:rsidP="00050A0D">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hyperlink r:id="rId8" w:history="1">
        <w:r w:rsidR="00C301ED" w:rsidRPr="003A30F5">
          <w:rPr>
            <w:rStyle w:val="Hyperlink"/>
            <w:rFonts w:ascii="Times New Roman" w:hAnsi="Times New Roman" w:cs="Times New Roman"/>
            <w:sz w:val="24"/>
            <w:szCs w:val="24"/>
            <w:lang w:val="en-US"/>
          </w:rPr>
          <w:t>syifaqalbiy@upi.edu</w:t>
        </w:r>
      </w:hyperlink>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50650B81" w14:textId="64C55F6D" w:rsidR="00050A0D" w:rsidRPr="00C32089" w:rsidRDefault="00D9592A" w:rsidP="00050A0D">
      <w:pPr>
        <w:spacing w:line="240" w:lineRule="auto"/>
        <w:jc w:val="both"/>
        <w:rPr>
          <w:rFonts w:ascii="Times New Roman" w:hAnsi="Times New Roman" w:cs="Times New Roman"/>
          <w:color w:val="000000" w:themeColor="text1"/>
          <w:sz w:val="20"/>
          <w:szCs w:val="20"/>
          <w:lang w:val="en-US"/>
        </w:rPr>
      </w:pPr>
      <w:r w:rsidRPr="00D9592A">
        <w:rPr>
          <w:rFonts w:ascii="Times New Roman" w:eastAsia="Times New Roman" w:hAnsi="Times New Roman" w:cs="Times New Roman"/>
          <w:color w:val="000000"/>
          <w:sz w:val="20"/>
          <w:szCs w:val="20"/>
        </w:rPr>
        <w:t>This study aims to develop mobile learning teaching material based ESD with the theme is Eco Friendly Technology and test its effectiveness in improving Environmental Literacy. Teaching materials were developed using  ADDIE model. There were 58 students in 9</w:t>
      </w:r>
      <w:r w:rsidRPr="00E559A5">
        <w:rPr>
          <w:rFonts w:ascii="Times New Roman" w:eastAsia="Times New Roman" w:hAnsi="Times New Roman" w:cs="Times New Roman"/>
          <w:color w:val="000000"/>
          <w:sz w:val="20"/>
          <w:szCs w:val="20"/>
          <w:vertAlign w:val="superscript"/>
        </w:rPr>
        <w:t>th</w:t>
      </w:r>
      <w:r w:rsidRPr="00D9592A">
        <w:rPr>
          <w:rFonts w:ascii="Times New Roman" w:eastAsia="Times New Roman" w:hAnsi="Times New Roman" w:cs="Times New Roman"/>
          <w:color w:val="000000"/>
          <w:sz w:val="20"/>
          <w:szCs w:val="20"/>
        </w:rPr>
        <w:t xml:space="preserve"> grade involved, consisting of experimental and control class. The instruments used included a Environmental Literacy test and instruments for assessing the quality of teaching materials, comprehension test sheets. The data were analysed by determining the average normalized gain, t-test means, and effect size. Based on the analysis, the data obtained: 1) the quality test and reading comprehension test are in the good, 2) The Environmental Literacy skills of  experimental group increased with medium criteria, and the control group increased with low criteria.  (3) There was a significant difference in the increased Environmental Literacy skills between the experimental class and control class,teaching materials can improve Environmental literacy skills with an N-Gain of 0.41, which is in the medium category, and 4) The effect size test and t test showed 1,2 which is in high category, it means teaching materials were effective in improving students' environmental literacy skills.</w:t>
      </w:r>
    </w:p>
    <w:p w14:paraId="2D34C0A1" w14:textId="73DA8081" w:rsidR="00050A0D" w:rsidRPr="00D9592A" w:rsidRDefault="00050A0D" w:rsidP="00050A0D">
      <w:pPr>
        <w:spacing w:line="240" w:lineRule="auto"/>
        <w:ind w:left="885" w:hanging="885"/>
        <w:jc w:val="both"/>
        <w:rPr>
          <w:rFonts w:ascii="Times New Roman" w:hAnsi="Times New Roman" w:cs="Times New Roman"/>
          <w:color w:val="000000" w:themeColor="text1"/>
          <w:sz w:val="20"/>
          <w:szCs w:val="20"/>
        </w:rPr>
      </w:pPr>
      <w:r w:rsidRPr="00C32089">
        <w:rPr>
          <w:rFonts w:ascii="Times New Roman" w:hAnsi="Times New Roman" w:cs="Times New Roman"/>
          <w:b/>
          <w:i/>
          <w:sz w:val="20"/>
          <w:szCs w:val="20"/>
          <w:lang w:val="en-US"/>
        </w:rPr>
        <w:t xml:space="preserve">Keywords: </w:t>
      </w:r>
      <w:bookmarkStart w:id="1" w:name="_GoBack"/>
      <w:bookmarkEnd w:id="1"/>
      <w:r w:rsidR="0033080B" w:rsidRPr="0033080B">
        <w:rPr>
          <w:rFonts w:ascii="Times New Roman" w:hAnsi="Times New Roman" w:cs="Times New Roman"/>
          <w:sz w:val="20"/>
          <w:szCs w:val="20"/>
          <w:lang w:val="en-US"/>
        </w:rPr>
        <w:t>Teaching materials; Mobile Learning; ESD; Environmental Literacy; Eco Friendly Technology.</w:t>
      </w:r>
    </w:p>
    <w:p w14:paraId="3990573C" w14:textId="2020CE20"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val="en-US" w:eastAsia="id-ID"/>
        </w:rPr>
        <w:t>.,</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Second author., &amp; Third author</w:t>
      </w:r>
      <w:r w:rsidR="00C32089">
        <w:rPr>
          <w:rFonts w:ascii="Times New Roman" w:eastAsia="Times New Roman" w:hAnsi="Times New Roman" w:cs="Times New Roman"/>
          <w:color w:val="222222"/>
          <w:sz w:val="20"/>
          <w:szCs w:val="20"/>
          <w:lang w:eastAsia="id-ID"/>
        </w:rPr>
        <w:t>. (20xx</w:t>
      </w:r>
      <w:r w:rsidRPr="008C07FA">
        <w:rPr>
          <w:rFonts w:ascii="Times New Roman" w:eastAsia="Times New Roman" w:hAnsi="Times New Roman" w:cs="Times New Roman"/>
          <w:color w:val="222222"/>
          <w:sz w:val="20"/>
          <w:szCs w:val="20"/>
          <w:lang w:eastAsia="id-ID"/>
        </w:rPr>
        <w:t xml:space="preserve">). </w:t>
      </w:r>
      <w:r w:rsidR="00C32089">
        <w:rPr>
          <w:rFonts w:ascii="Times New Roman" w:hAnsi="Times New Roman" w:cs="Times New Roman"/>
          <w:sz w:val="20"/>
          <w:szCs w:val="20"/>
          <w:lang w:val="en-US"/>
        </w:rPr>
        <w:t>The title</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xx-yy</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hyperlink r:id="rId9"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hyperlink r:id="rId11"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2"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4B6602F6"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INTRODUCTION </w:t>
      </w:r>
    </w:p>
    <w:p w14:paraId="185CF86C" w14:textId="5F869397" w:rsidR="00D9592A" w:rsidRPr="00D9592A" w:rsidRDefault="00C32089" w:rsidP="00E559A5">
      <w:pPr>
        <w:spacing w:after="0" w:line="240" w:lineRule="auto"/>
        <w:ind w:firstLine="567"/>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sz w:val="24"/>
          <w:szCs w:val="24"/>
          <w:lang w:val="en-US"/>
        </w:rPr>
        <w:t>The</w:t>
      </w:r>
      <w:r w:rsidR="00D9592A" w:rsidRPr="00D9592A">
        <w:t xml:space="preserve"> </w:t>
      </w:r>
      <w:r w:rsidR="00D9592A" w:rsidRPr="00D9592A">
        <w:rPr>
          <w:rFonts w:ascii="Times New Roman" w:eastAsia="Times New Roman" w:hAnsi="Times New Roman" w:cs="Times New Roman"/>
          <w:sz w:val="24"/>
          <w:szCs w:val="24"/>
          <w:lang w:val="en-US"/>
        </w:rPr>
        <w:t>Education in the 21</w:t>
      </w:r>
      <w:r w:rsidR="00D9592A" w:rsidRPr="00E559A5">
        <w:rPr>
          <w:rFonts w:ascii="Times New Roman" w:eastAsia="Times New Roman" w:hAnsi="Times New Roman" w:cs="Times New Roman"/>
          <w:sz w:val="24"/>
          <w:szCs w:val="24"/>
          <w:vertAlign w:val="superscript"/>
          <w:lang w:val="en-US"/>
        </w:rPr>
        <w:t>st</w:t>
      </w:r>
      <w:r w:rsidR="00D9592A" w:rsidRPr="00D9592A">
        <w:rPr>
          <w:rFonts w:ascii="Times New Roman" w:eastAsia="Times New Roman" w:hAnsi="Times New Roman" w:cs="Times New Roman"/>
          <w:sz w:val="24"/>
          <w:szCs w:val="24"/>
          <w:lang w:val="en-US"/>
        </w:rPr>
        <w:t xml:space="preserve"> century is experiencing changes caused by developments in science and technology. It has an impact on learning paradigms, such as curriculum, media and learning technology. In line with the demands of 21</w:t>
      </w:r>
      <w:r w:rsidR="00D9592A" w:rsidRPr="00E559A5">
        <w:rPr>
          <w:rFonts w:ascii="Times New Roman" w:eastAsia="Times New Roman" w:hAnsi="Times New Roman" w:cs="Times New Roman"/>
          <w:sz w:val="24"/>
          <w:szCs w:val="24"/>
          <w:vertAlign w:val="superscript"/>
          <w:lang w:val="en-US"/>
        </w:rPr>
        <w:t>st</w:t>
      </w:r>
      <w:r w:rsidR="00D9592A" w:rsidRPr="00D9592A">
        <w:rPr>
          <w:rFonts w:ascii="Times New Roman" w:eastAsia="Times New Roman" w:hAnsi="Times New Roman" w:cs="Times New Roman"/>
          <w:sz w:val="24"/>
          <w:szCs w:val="24"/>
          <w:lang w:val="en-US"/>
        </w:rPr>
        <w:t xml:space="preserve"> century, learning by integrating technology as a learning medium is an effective way to developing student learning skills.  Science learning expects students to understand the surrounding environment known as environmental literacy. Environmental literacy can be referred to as environmental literacy or actions based on concern for the environment. According to Roth (1992), environmental literacy is a person's ability to understand the surrounding environment and play a role in efforts to protect, repair and improve environmental quality. Environmental literacy is basic education for everyone which provides knowledge, skills and motivation to overcome environmental problems and contribute to sustainable development. Environmental literacy is basically the capacity to understand and interpret environmental conditions and take appropriate action to maintain, restore, or improve those environmental conditions (Kidman &amp; Casinader, 2019).</w:t>
      </w:r>
    </w:p>
    <w:p w14:paraId="41B311CA" w14:textId="77777777"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ab/>
        <w:t xml:space="preserve">However, based on facts, environmental literacy has not been optimally improved. This is supported by the results of studies that show students' environmental literacy scores have an </w:t>
      </w:r>
      <w:r w:rsidRPr="00D9592A">
        <w:rPr>
          <w:rFonts w:ascii="Times New Roman" w:eastAsia="Times New Roman" w:hAnsi="Times New Roman" w:cs="Times New Roman"/>
          <w:sz w:val="24"/>
          <w:szCs w:val="24"/>
          <w:lang w:val="en-US"/>
        </w:rPr>
        <w:lastRenderedPageBreak/>
        <w:t>average percentage of 47%. Students' environmental literacy is still considered to be low due to several factors, because of the lack of intention to know and study environmental problems (Rohweder, 2004).  This result of the study explains that the  one of senior high school student has a level environmental Literacy skills are classified as "sufficient" with an average score of 75(Aini et al., 2021). (Igbokwe, 2016) stated that students' environmental literacy is generally low, only 29.3% of students meet environmental literacy assessment standards and the remaining 70.7% are still below standards. (Suryawati et al., 2020) stated that junior high school students' ability to identify, analyze problems, and design planning actions and practice to solve environmental problems is still low. The study results showed that the student who did not have adequate environmental knowledge related to environmental education, attitudes, concerns and perceptions of environmental problems were relatively high (Saribas et al., 2014)</w:t>
      </w:r>
    </w:p>
    <w:p w14:paraId="0DBE41F6" w14:textId="01D34337"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ab/>
        <w:t>This study show that there is a gap between standards competency in junior high school and the fact of students' environmental literacy. Environmental literacy cannot be developed naturally but it should be stimulated by various stimuli and environmental conditions. There needs to be a teacher’s role to improve the quality of education. One of the teacher's role is to provide teaching materials which is appropriate with students’ need. The unpropiate teaching materials causes the low quality of education and learning systems</w:t>
      </w:r>
      <w:r w:rsidR="00E559A5">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(Kaniawati, n.d.).</w:t>
      </w:r>
    </w:p>
    <w:p w14:paraId="56F52A18" w14:textId="77777777"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ab/>
        <w:t>Mobile learning teaching materials provide new opportunities for students, such as learning that is personalized, contextualized, and not hindered by time or environmental constraints (Crompton &amp; Burke, 2018; Farrah &amp; Abu-Dawood, 2018). Mobile learning has many advantages from the user's perspective, most of them is as a learning resource(Elfeky &amp; Yakoub Masadeh, 2016; Yousafzai et al., n.d.). Based on the results of a survey by Insani (2016), it was found that 96% of the teaching materials used by teachers in Indonesia were printed (textbooks, modules, worksheets), and 4% used electronic school books. To overcome this gap, this research is aimed at improving junior high school students' environmental literacy by using mobile learning teaching materials.</w:t>
      </w:r>
    </w:p>
    <w:p w14:paraId="019554F0" w14:textId="6F751D98"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In developing teaching materials to improve certain skills, an approach is needed in the development process. The Education for Sustainable Development (ESD) can be applied in science education. ESD reflects a close relationship with sustainable development, prioritizing knowledge, skills, values and action competencies to integrate and balance the 'pillars' of Sustainability. Development: society, environment and economy, and culture (Unesco, 2017). In 2015 the SDG concept was introduced into the world of education in the form of Education for Sustainable Development (ESD) (Oh et al., n.d.). It aims to build human character and competence through education in schools (Oh et al., n.d.).  However, unfortunately in Indonesia, ESD has not been included and implemented in the school curriculum. Therefore, there is still lack of learning source and teaching materials from the government that are suitable for implementing learning activities with the ESD concept.</w:t>
      </w:r>
    </w:p>
    <w:p w14:paraId="3B658EC7" w14:textId="77777777" w:rsid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ab/>
        <w:t>Moreover, the author carried out a brief analysis of ESD values in the 2013 science curriculum text book published by the government in the study of Eco Friendly Technology material. From the results of the analysis, it was found that (1) the material discussed has not contained ESD aspects and did not support the goals of sustainable education, (2) the material presented has not specifically addressed the goals of sustainable education, (3) the material presented has not contained environmental, socio-cultural and economic aspects. Environmental, economic and social aspects need to be emphasized in learning resources to support ESD-based learning(Mahaffy et al., 2019; O’Flaherty &amp; Liddy, 2018).</w:t>
      </w:r>
      <w:r>
        <w:rPr>
          <w:rFonts w:ascii="Times New Roman" w:eastAsia="Times New Roman" w:hAnsi="Times New Roman" w:cs="Times New Roman"/>
          <w:sz w:val="24"/>
          <w:szCs w:val="24"/>
          <w:lang w:val="en-US"/>
        </w:rPr>
        <w:t xml:space="preserve"> </w:t>
      </w:r>
    </w:p>
    <w:p w14:paraId="7DC97A13" w14:textId="6878EAC4"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 xml:space="preserve">Several previous studies have been developed on interactive media regarding mobile learning application. Another research conducted by (Widodo et al., 2020). He developed gadget-based interactive multimedia. There are several studies related to environmental literacy, and ESD implementation, students' sustainability awareness through ESD integration in teaching learning process (Berglund et al., 2014). The difference between this study and previous study is this research only focuses on certain topics and improving environmental literacy. The development of teaching materials in the form of e-book or e-modul form that is </w:t>
      </w:r>
      <w:r w:rsidRPr="00D9592A">
        <w:rPr>
          <w:rFonts w:ascii="Times New Roman" w:eastAsia="Times New Roman" w:hAnsi="Times New Roman" w:cs="Times New Roman"/>
          <w:sz w:val="24"/>
          <w:szCs w:val="24"/>
          <w:lang w:val="en-US"/>
        </w:rPr>
        <w:lastRenderedPageBreak/>
        <w:t>currently available is still in the form of transferring books to digital form and is not yet optimal for practicing certain skills such as the demands of education in the 21st century. Various literacy skills can be enhanced with the appropiate teaching material and the activities involve the surroundings in meaning-making processes, which included identity formation, agency and learning to use environmental literacy</w:t>
      </w:r>
      <w:r w:rsidR="00E559A5">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(Häggström &amp; Schmidt, 2020). In this study, teaching materials in the natural sciences were developed for junior high school students, and their effectiveness was measured. To produce clear and concise teaching material the process of developing them was modelled after how science textbooks are written (Sinaga et al., 2017).</w:t>
      </w:r>
    </w:p>
    <w:p w14:paraId="0B42FD14" w14:textId="355D15FA" w:rsid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ab/>
        <w:t>Meanwhile, this study aims to develop ESD-based mobile learning teaching materials to improve environmental literacy skills on the topic of eco friendly technology. Based on the above description, it can be formulated the  research problem is "How is the effectiveness of the development of mobile learning teaching material based ESD to improve junior high school students' environmental literacy skills in Eco Friendly Technology?"</w:t>
      </w:r>
    </w:p>
    <w:p w14:paraId="36EC8F40" w14:textId="2DC575BF" w:rsidR="00C32089" w:rsidRPr="002251C0" w:rsidRDefault="00C32089" w:rsidP="00D9592A">
      <w:pPr>
        <w:spacing w:after="240" w:line="240" w:lineRule="auto"/>
        <w:ind w:firstLine="567"/>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sz w:val="24"/>
          <w:szCs w:val="24"/>
          <w:lang w:val="en-US"/>
        </w:rPr>
        <w:t xml:space="preserve"> </w:t>
      </w:r>
    </w:p>
    <w:p w14:paraId="2C406511" w14:textId="1A623CFD"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METHOD</w:t>
      </w:r>
    </w:p>
    <w:p w14:paraId="101BF60B" w14:textId="138F1644" w:rsidR="00D9592A" w:rsidRPr="00D9592A" w:rsidRDefault="00D9592A" w:rsidP="00D9592A">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The method used is research and development. Development research focuses on a given product, program, process, or instructional tool (Richey &amp; Klein, 2005).  The development model used is ADDIE. It is one of the systematic learning design models, chosen based on the consideration of this model is developed systematically on the theoretical foundation of learning design. This model is structured programmed with sequences of systematic activities in efforts to solve learning problems related to learning resources that are in accordance with the needs of students. This model consists of five steps, namely: (1) analyze, (2) design, (3) development, (4) implementation, and (5) evaluation.</w:t>
      </w:r>
    </w:p>
    <w:p w14:paraId="1BBACA0E" w14:textId="77777777" w:rsidR="00D9592A" w:rsidRPr="00D9592A" w:rsidRDefault="00D9592A" w:rsidP="00D9592A">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At the implementation stage, a test of the effectiveness of the teaching materials developed was carried out, with a pre-test, post-test control group design was chosen. By using this design the experimental group and control group have the same characteristics. The sample was determined with the purposive sampling technique and consisted of junior high school students who are divided into the experimental class and control class, of 29 students each.</w:t>
      </w:r>
    </w:p>
    <w:p w14:paraId="096084C4" w14:textId="0492661A" w:rsidR="00D9592A" w:rsidRPr="00D9592A" w:rsidRDefault="00D9592A" w:rsidP="00E559A5">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The Experiment class used teaching materials that were developed while the control class used teaching materials commonly used in schools.  The instruments used included a environmental literacy test and a four-rating scale questionnaire. Research instruments were in the form of tests,</w:t>
      </w:r>
      <w:r w:rsidR="00E559A5">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to measure ecological knowledge, and questionnaires that were adapted from the Middle School Environmental Literacy Survey (MSELS), to measure cognitive skills, actions, and sensitivity to the environment. Before being used, questionnaires and tests adapted from MSELS were tested.</w:t>
      </w:r>
    </w:p>
    <w:p w14:paraId="5ED6D100" w14:textId="67600451" w:rsidR="00C32089" w:rsidRDefault="00D9592A" w:rsidP="00D9592A">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Ecological knowledge variables were measured using multiple-choice tests consisting of 12 questions. The data were analysed by determining the average normalized gain, t-test means, and effect size, and descriptively analysing. The final stage is Evaluation, namely evaluating</w:t>
      </w:r>
      <w:r>
        <w:rPr>
          <w:rFonts w:ascii="Times New Roman" w:eastAsia="Times New Roman" w:hAnsi="Times New Roman" w:cs="Times New Roman"/>
          <w:sz w:val="24"/>
          <w:szCs w:val="24"/>
          <w:lang w:val="en-US"/>
        </w:rPr>
        <w:t xml:space="preserve"> </w:t>
      </w:r>
      <w:r w:rsidRPr="00D9592A">
        <w:rPr>
          <w:rFonts w:ascii="Times New Roman" w:eastAsia="Times New Roman" w:hAnsi="Times New Roman" w:cs="Times New Roman"/>
          <w:sz w:val="24"/>
          <w:szCs w:val="24"/>
          <w:lang w:val="en-US"/>
        </w:rPr>
        <w:t>student learning outcomes, as well as improving products according to student needs as a basis for further research.</w:t>
      </w:r>
    </w:p>
    <w:p w14:paraId="69928D96" w14:textId="77777777" w:rsidR="00D9592A" w:rsidRPr="002251C0" w:rsidRDefault="00D9592A" w:rsidP="00D9592A">
      <w:pPr>
        <w:spacing w:after="0" w:line="240" w:lineRule="auto"/>
        <w:ind w:firstLine="567"/>
        <w:jc w:val="both"/>
        <w:rPr>
          <w:rFonts w:ascii="Times New Roman" w:eastAsia="Times New Roman" w:hAnsi="Times New Roman" w:cs="Times New Roman"/>
          <w:sz w:val="24"/>
          <w:szCs w:val="24"/>
          <w:lang w:val="en-US"/>
        </w:rPr>
      </w:pPr>
    </w:p>
    <w:p w14:paraId="58047E83" w14:textId="40F725E2"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RESULTS AND DISCUSSION </w:t>
      </w:r>
    </w:p>
    <w:p w14:paraId="62340145" w14:textId="77777777" w:rsidR="00D9592A" w:rsidRPr="00D9592A" w:rsidRDefault="00D9592A" w:rsidP="00E559A5">
      <w:pPr>
        <w:tabs>
          <w:tab w:val="left" w:pos="426"/>
        </w:tabs>
        <w:spacing w:after="0" w:line="240" w:lineRule="auto"/>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1.</w:t>
      </w:r>
      <w:r w:rsidRPr="00D9592A">
        <w:rPr>
          <w:rFonts w:ascii="Times New Roman" w:eastAsia="Times New Roman" w:hAnsi="Times New Roman" w:cs="Times New Roman"/>
          <w:sz w:val="24"/>
          <w:szCs w:val="24"/>
          <w:lang w:val="en-US"/>
        </w:rPr>
        <w:tab/>
      </w:r>
      <w:r w:rsidRPr="00D9592A">
        <w:rPr>
          <w:rFonts w:ascii="Times New Roman" w:eastAsia="Times New Roman" w:hAnsi="Times New Roman" w:cs="Times New Roman"/>
          <w:b/>
          <w:sz w:val="24"/>
          <w:szCs w:val="24"/>
          <w:lang w:val="en-US"/>
        </w:rPr>
        <w:t>Teaching Material Feasibility</w:t>
      </w:r>
    </w:p>
    <w:p w14:paraId="0021AB22" w14:textId="77777777" w:rsidR="00D9592A" w:rsidRPr="00D9592A" w:rsidRDefault="00D9592A" w:rsidP="004132EC">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 xml:space="preserve">The instrument for assessing the quality of Mobile Learning Teaching material based ESD consists of material relevance, media suitability and ESD components. The material relevance consists of the suitability between Basic Competencies and Indicators as well as the suitability of Content Writing, each of them has its own assessment sub-aspect. Based on the results of the quality test of teaching materials validation, the mobile learning teaching materials based ESD on the theme of Eco friendly technology are in adequate quality with an average score of 80.00. Furthermore, the media suitability aspect consists of two components: 1) presentation of mobile learning, and 2) The use of mobile learning. The average score for media is obtained 89% which is adequate category. The third aspect is ESD components, which </w:t>
      </w:r>
      <w:r w:rsidRPr="00D9592A">
        <w:rPr>
          <w:rFonts w:ascii="Times New Roman" w:eastAsia="Times New Roman" w:hAnsi="Times New Roman" w:cs="Times New Roman"/>
          <w:sz w:val="24"/>
          <w:szCs w:val="24"/>
          <w:lang w:val="en-US"/>
        </w:rPr>
        <w:lastRenderedPageBreak/>
        <w:t xml:space="preserve">consist of ESD Component (Environment, Social, Economic), the average score for ESD component is 80,5%. </w:t>
      </w:r>
    </w:p>
    <w:p w14:paraId="3DD6DE7C" w14:textId="26AEDC85" w:rsidR="00D9592A" w:rsidRDefault="00D9592A" w:rsidP="004132EC">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The reading comprehension test in this study used an instrument containing text in one sub topic with four questions for each text consisting of writing the main idea of the text, sentences to supporting the main idea, sentences that were difficult to understand in the text, and unknown words in the text. The developed mobile learning teaching materials shows that from the 24 text tested, 21 text had a high level of understanding and 3 text had a medium level of understanding.</w:t>
      </w:r>
    </w:p>
    <w:p w14:paraId="5721366C" w14:textId="77777777" w:rsidR="00D9592A" w:rsidRPr="004132EC" w:rsidRDefault="00D9592A" w:rsidP="004132EC">
      <w:pPr>
        <w:spacing w:after="0" w:line="240" w:lineRule="auto"/>
        <w:jc w:val="both"/>
        <w:rPr>
          <w:rFonts w:ascii="Times New Roman" w:eastAsia="Times New Roman" w:hAnsi="Times New Roman" w:cs="Times New Roman"/>
          <w:b/>
          <w:sz w:val="24"/>
          <w:szCs w:val="24"/>
          <w:lang w:val="en-US"/>
        </w:rPr>
      </w:pPr>
      <w:r w:rsidRPr="004132EC">
        <w:rPr>
          <w:rFonts w:ascii="Times New Roman" w:eastAsia="Times New Roman" w:hAnsi="Times New Roman" w:cs="Times New Roman"/>
          <w:b/>
          <w:sz w:val="24"/>
          <w:szCs w:val="24"/>
          <w:lang w:val="en-US"/>
        </w:rPr>
        <w:t>2.</w:t>
      </w:r>
      <w:r w:rsidRPr="004132EC">
        <w:rPr>
          <w:rFonts w:ascii="Times New Roman" w:eastAsia="Times New Roman" w:hAnsi="Times New Roman" w:cs="Times New Roman"/>
          <w:b/>
          <w:sz w:val="24"/>
          <w:szCs w:val="24"/>
          <w:lang w:val="en-US"/>
        </w:rPr>
        <w:tab/>
        <w:t>Environmental Literacy Improvement</w:t>
      </w:r>
    </w:p>
    <w:p w14:paraId="3031A8C9" w14:textId="77777777" w:rsidR="00D9592A" w:rsidRPr="00D9592A" w:rsidRDefault="00D9592A" w:rsidP="004132EC">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ab/>
        <w:t>In this research, environmental literacy indicators were developed from the environmental literacy function according to Middle School Environmental Literacy Survey (MSELS). Students' environmental literacy on the theme of eco friendly technology were measured using a environmental literacy question instrument in the form of a description test totaling 12 questions. The increasing in environmental literacy skills in ecological knowledge is analyzed based on the increase in N-gain. The research results showed the differences in increasing environmental literacy between the experimental class and the control class.</w:t>
      </w:r>
      <w:r w:rsidRPr="00D9592A">
        <w:rPr>
          <w:rFonts w:ascii="Times New Roman" w:eastAsia="Times New Roman" w:hAnsi="Times New Roman" w:cs="Times New Roman"/>
          <w:sz w:val="24"/>
          <w:szCs w:val="24"/>
          <w:lang w:val="en-US"/>
        </w:rPr>
        <w:tab/>
      </w:r>
    </w:p>
    <w:p w14:paraId="71209ECA" w14:textId="2A9E9496" w:rsidR="00D9592A" w:rsidRDefault="00D9592A" w:rsidP="004132EC">
      <w:pPr>
        <w:spacing w:after="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The results of data analysis show that,  it can be seen that the N-gain value for the experimental class is 0.41 and the control class is 0.18. The Environmental Literacy skills of the experimental group increased with the medium criteria, and the control group increased with low criteria. There was a significant difference in the increased environmental literacy between the experimental class and control class.</w:t>
      </w:r>
    </w:p>
    <w:p w14:paraId="2B9D6182" w14:textId="77777777" w:rsidR="00D9592A" w:rsidRPr="004132EC" w:rsidRDefault="00D9592A" w:rsidP="00D9592A">
      <w:pPr>
        <w:widowControl w:val="0"/>
        <w:autoSpaceDE w:val="0"/>
        <w:autoSpaceDN w:val="0"/>
        <w:spacing w:after="0" w:line="240" w:lineRule="auto"/>
        <w:jc w:val="center"/>
        <w:rPr>
          <w:rFonts w:ascii="Times New Roman" w:hAnsi="Times New Roman" w:cs="Times New Roman"/>
          <w:sz w:val="24"/>
          <w:szCs w:val="24"/>
        </w:rPr>
      </w:pPr>
      <w:bookmarkStart w:id="2" w:name="_Hlk169641421"/>
      <w:r w:rsidRPr="004132EC">
        <w:rPr>
          <w:rFonts w:ascii="Times New Roman" w:hAnsi="Times New Roman" w:cs="Times New Roman"/>
          <w:sz w:val="24"/>
          <w:szCs w:val="24"/>
        </w:rPr>
        <w:t>Table 1:</w:t>
      </w:r>
    </w:p>
    <w:p w14:paraId="4FB28A59" w14:textId="77777777" w:rsidR="00D9592A" w:rsidRPr="004132EC" w:rsidRDefault="00D9592A" w:rsidP="00D9592A">
      <w:pPr>
        <w:widowControl w:val="0"/>
        <w:autoSpaceDE w:val="0"/>
        <w:autoSpaceDN w:val="0"/>
        <w:spacing w:after="0" w:line="240" w:lineRule="auto"/>
        <w:jc w:val="center"/>
        <w:rPr>
          <w:rFonts w:ascii="Times New Roman" w:hAnsi="Times New Roman" w:cs="Times New Roman"/>
          <w:color w:val="002060"/>
          <w:sz w:val="24"/>
          <w:szCs w:val="24"/>
          <w:lang w:val="id"/>
        </w:rPr>
      </w:pPr>
      <w:r w:rsidRPr="004132EC">
        <w:rPr>
          <w:rFonts w:ascii="Times New Roman" w:hAnsi="Times New Roman" w:cs="Times New Roman"/>
          <w:sz w:val="24"/>
          <w:szCs w:val="24"/>
        </w:rPr>
        <w:t>The average normalised gains in students’ environmental literacy skills</w:t>
      </w:r>
    </w:p>
    <w:tbl>
      <w:tblPr>
        <w:tblStyle w:val="PlainTable2"/>
        <w:tblW w:w="0" w:type="auto"/>
        <w:tblInd w:w="1115" w:type="dxa"/>
        <w:tblLook w:val="04A0" w:firstRow="1" w:lastRow="0" w:firstColumn="1" w:lastColumn="0" w:noHBand="0" w:noVBand="1"/>
      </w:tblPr>
      <w:tblGrid>
        <w:gridCol w:w="1511"/>
        <w:gridCol w:w="1335"/>
        <w:gridCol w:w="1418"/>
        <w:gridCol w:w="992"/>
        <w:gridCol w:w="1559"/>
      </w:tblGrid>
      <w:tr w:rsidR="00D9592A" w:rsidRPr="004132EC" w14:paraId="746CCBFE" w14:textId="77777777" w:rsidTr="00413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0F72552C" w14:textId="77777777" w:rsidR="00D9592A" w:rsidRPr="004132EC" w:rsidRDefault="00D9592A" w:rsidP="00335872">
            <w:pPr>
              <w:widowControl w:val="0"/>
              <w:autoSpaceDE w:val="0"/>
              <w:autoSpaceDN w:val="0"/>
              <w:jc w:val="center"/>
              <w:rPr>
                <w:rFonts w:ascii="Times New Roman" w:hAnsi="Times New Roman" w:cs="Times New Roman"/>
                <w:sz w:val="24"/>
                <w:szCs w:val="24"/>
                <w:lang w:val="en-US"/>
              </w:rPr>
            </w:pPr>
            <w:bookmarkStart w:id="3" w:name="_Hlk169641581"/>
            <w:bookmarkEnd w:id="2"/>
            <w:r w:rsidRPr="004132EC">
              <w:rPr>
                <w:rFonts w:ascii="Times New Roman" w:hAnsi="Times New Roman" w:cs="Times New Roman"/>
                <w:sz w:val="24"/>
                <w:szCs w:val="24"/>
                <w:lang w:val="en-US"/>
              </w:rPr>
              <w:t>Class</w:t>
            </w:r>
          </w:p>
        </w:tc>
        <w:tc>
          <w:tcPr>
            <w:tcW w:w="1335" w:type="dxa"/>
          </w:tcPr>
          <w:p w14:paraId="303A2E7C" w14:textId="77777777" w:rsidR="00D9592A" w:rsidRPr="004132EC" w:rsidRDefault="00D9592A" w:rsidP="0033587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32EC">
              <w:rPr>
                <w:rFonts w:ascii="Times New Roman" w:hAnsi="Times New Roman" w:cs="Times New Roman"/>
                <w:sz w:val="24"/>
                <w:szCs w:val="24"/>
                <w:lang w:val="id"/>
              </w:rPr>
              <w:t>&lt;Pre Test&gt;</w:t>
            </w:r>
          </w:p>
        </w:tc>
        <w:tc>
          <w:tcPr>
            <w:tcW w:w="1418" w:type="dxa"/>
          </w:tcPr>
          <w:p w14:paraId="4316190C" w14:textId="77777777" w:rsidR="00D9592A" w:rsidRPr="004132EC" w:rsidRDefault="00D9592A" w:rsidP="0033587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32EC">
              <w:rPr>
                <w:rFonts w:ascii="Times New Roman" w:hAnsi="Times New Roman" w:cs="Times New Roman"/>
                <w:sz w:val="24"/>
                <w:szCs w:val="24"/>
                <w:lang w:val="id"/>
              </w:rPr>
              <w:t>&lt;Post Test&gt;</w:t>
            </w:r>
          </w:p>
        </w:tc>
        <w:tc>
          <w:tcPr>
            <w:tcW w:w="992" w:type="dxa"/>
          </w:tcPr>
          <w:p w14:paraId="41CBBE92" w14:textId="77777777" w:rsidR="00D9592A" w:rsidRPr="004132EC" w:rsidRDefault="00D9592A" w:rsidP="0033587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32EC">
              <w:rPr>
                <w:rFonts w:ascii="Times New Roman" w:hAnsi="Times New Roman" w:cs="Times New Roman"/>
                <w:sz w:val="24"/>
                <w:szCs w:val="24"/>
                <w:lang w:val="id"/>
              </w:rPr>
              <w:t>&lt;g &gt;</w:t>
            </w:r>
          </w:p>
        </w:tc>
        <w:tc>
          <w:tcPr>
            <w:tcW w:w="1559" w:type="dxa"/>
          </w:tcPr>
          <w:p w14:paraId="405ABF61" w14:textId="77777777" w:rsidR="00D9592A" w:rsidRPr="004132EC" w:rsidRDefault="00D9592A" w:rsidP="0033587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32EC">
              <w:rPr>
                <w:rFonts w:ascii="Times New Roman" w:hAnsi="Times New Roman" w:cs="Times New Roman"/>
                <w:sz w:val="24"/>
                <w:szCs w:val="24"/>
                <w:lang w:val="en-US"/>
              </w:rPr>
              <w:t>Category</w:t>
            </w:r>
          </w:p>
        </w:tc>
      </w:tr>
      <w:tr w:rsidR="00D9592A" w:rsidRPr="004132EC" w14:paraId="45CEC3C5" w14:textId="77777777" w:rsidTr="004132E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511" w:type="dxa"/>
          </w:tcPr>
          <w:p w14:paraId="0CDAD4B9" w14:textId="77777777" w:rsidR="00D9592A" w:rsidRPr="004132EC" w:rsidRDefault="00D9592A" w:rsidP="00335872">
            <w:pPr>
              <w:widowControl w:val="0"/>
              <w:autoSpaceDE w:val="0"/>
              <w:autoSpaceDN w:val="0"/>
              <w:jc w:val="center"/>
              <w:rPr>
                <w:rFonts w:ascii="Times New Roman" w:hAnsi="Times New Roman" w:cs="Times New Roman"/>
                <w:sz w:val="24"/>
                <w:szCs w:val="24"/>
                <w:lang w:val="en-US"/>
              </w:rPr>
            </w:pPr>
            <w:r w:rsidRPr="004132EC">
              <w:rPr>
                <w:rFonts w:ascii="Times New Roman" w:hAnsi="Times New Roman" w:cs="Times New Roman"/>
                <w:sz w:val="24"/>
                <w:szCs w:val="24"/>
                <w:lang w:val="id"/>
              </w:rPr>
              <w:t>E</w:t>
            </w:r>
            <w:r w:rsidRPr="004132EC">
              <w:rPr>
                <w:rFonts w:ascii="Times New Roman" w:hAnsi="Times New Roman" w:cs="Times New Roman"/>
                <w:sz w:val="24"/>
                <w:szCs w:val="24"/>
                <w:lang w:val="en-US"/>
              </w:rPr>
              <w:t>xperiment</w:t>
            </w:r>
          </w:p>
        </w:tc>
        <w:tc>
          <w:tcPr>
            <w:tcW w:w="1335" w:type="dxa"/>
          </w:tcPr>
          <w:p w14:paraId="421F8404" w14:textId="77777777" w:rsidR="00D9592A" w:rsidRPr="004132EC" w:rsidRDefault="00D9592A" w:rsidP="003358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32EC">
              <w:rPr>
                <w:rFonts w:ascii="Times New Roman" w:hAnsi="Times New Roman" w:cs="Times New Roman"/>
                <w:sz w:val="24"/>
                <w:szCs w:val="24"/>
              </w:rPr>
              <w:t>48,55</w:t>
            </w:r>
          </w:p>
        </w:tc>
        <w:tc>
          <w:tcPr>
            <w:tcW w:w="1418" w:type="dxa"/>
          </w:tcPr>
          <w:p w14:paraId="4E1859E1" w14:textId="77777777" w:rsidR="00D9592A" w:rsidRPr="004132EC" w:rsidRDefault="00D9592A" w:rsidP="003358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32EC">
              <w:rPr>
                <w:rFonts w:ascii="Times New Roman" w:hAnsi="Times New Roman" w:cs="Times New Roman"/>
                <w:sz w:val="24"/>
                <w:szCs w:val="24"/>
              </w:rPr>
              <w:t>69,79</w:t>
            </w:r>
          </w:p>
        </w:tc>
        <w:tc>
          <w:tcPr>
            <w:tcW w:w="992" w:type="dxa"/>
          </w:tcPr>
          <w:p w14:paraId="173CF112" w14:textId="77777777" w:rsidR="00D9592A" w:rsidRPr="004132EC" w:rsidRDefault="00D9592A" w:rsidP="00335872">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
              </w:rPr>
            </w:pPr>
            <w:r w:rsidRPr="004132EC">
              <w:rPr>
                <w:rFonts w:ascii="Times New Roman" w:hAnsi="Times New Roman" w:cs="Times New Roman"/>
                <w:sz w:val="24"/>
                <w:szCs w:val="24"/>
              </w:rPr>
              <w:t>0,41</w:t>
            </w:r>
          </w:p>
        </w:tc>
        <w:tc>
          <w:tcPr>
            <w:tcW w:w="1559" w:type="dxa"/>
          </w:tcPr>
          <w:p w14:paraId="17F8FB56" w14:textId="77777777" w:rsidR="00D9592A" w:rsidRPr="004132EC" w:rsidRDefault="00D9592A" w:rsidP="00335872">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32EC">
              <w:rPr>
                <w:rFonts w:ascii="Times New Roman" w:hAnsi="Times New Roman" w:cs="Times New Roman"/>
                <w:sz w:val="24"/>
                <w:szCs w:val="24"/>
                <w:lang w:val="en-US"/>
              </w:rPr>
              <w:t>Medium</w:t>
            </w:r>
          </w:p>
        </w:tc>
      </w:tr>
      <w:tr w:rsidR="00D9592A" w:rsidRPr="004132EC" w14:paraId="56293325" w14:textId="77777777" w:rsidTr="004132EC">
        <w:trPr>
          <w:trHeight w:val="226"/>
        </w:trPr>
        <w:tc>
          <w:tcPr>
            <w:cnfStyle w:val="001000000000" w:firstRow="0" w:lastRow="0" w:firstColumn="1" w:lastColumn="0" w:oddVBand="0" w:evenVBand="0" w:oddHBand="0" w:evenHBand="0" w:firstRowFirstColumn="0" w:firstRowLastColumn="0" w:lastRowFirstColumn="0" w:lastRowLastColumn="0"/>
            <w:tcW w:w="1511" w:type="dxa"/>
          </w:tcPr>
          <w:p w14:paraId="283938E1" w14:textId="77777777" w:rsidR="00D9592A" w:rsidRPr="004132EC" w:rsidRDefault="00D9592A" w:rsidP="00335872">
            <w:pPr>
              <w:widowControl w:val="0"/>
              <w:autoSpaceDE w:val="0"/>
              <w:autoSpaceDN w:val="0"/>
              <w:jc w:val="center"/>
              <w:rPr>
                <w:rFonts w:ascii="Times New Roman" w:hAnsi="Times New Roman" w:cs="Times New Roman"/>
                <w:sz w:val="24"/>
                <w:szCs w:val="24"/>
                <w:lang w:val="en-US"/>
              </w:rPr>
            </w:pPr>
            <w:r w:rsidRPr="004132EC">
              <w:rPr>
                <w:rFonts w:ascii="Times New Roman" w:hAnsi="Times New Roman" w:cs="Times New Roman"/>
                <w:sz w:val="24"/>
                <w:szCs w:val="24"/>
                <w:lang w:val="en-US"/>
              </w:rPr>
              <w:t>Control</w:t>
            </w:r>
          </w:p>
        </w:tc>
        <w:tc>
          <w:tcPr>
            <w:tcW w:w="1335" w:type="dxa"/>
          </w:tcPr>
          <w:p w14:paraId="3647E130" w14:textId="77777777" w:rsidR="00D9592A" w:rsidRPr="004132EC" w:rsidRDefault="00D9592A" w:rsidP="003358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32EC">
              <w:rPr>
                <w:rFonts w:ascii="Times New Roman" w:hAnsi="Times New Roman" w:cs="Times New Roman"/>
                <w:sz w:val="24"/>
                <w:szCs w:val="24"/>
              </w:rPr>
              <w:t xml:space="preserve">       47,72</w:t>
            </w:r>
          </w:p>
        </w:tc>
        <w:tc>
          <w:tcPr>
            <w:tcW w:w="1418" w:type="dxa"/>
          </w:tcPr>
          <w:p w14:paraId="7E96B2EB" w14:textId="77777777" w:rsidR="00D9592A" w:rsidRPr="004132EC" w:rsidRDefault="00D9592A" w:rsidP="003358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32EC">
              <w:rPr>
                <w:rFonts w:ascii="Times New Roman" w:hAnsi="Times New Roman" w:cs="Times New Roman"/>
                <w:sz w:val="24"/>
                <w:szCs w:val="24"/>
              </w:rPr>
              <w:t>57,41</w:t>
            </w:r>
          </w:p>
        </w:tc>
        <w:tc>
          <w:tcPr>
            <w:tcW w:w="992" w:type="dxa"/>
          </w:tcPr>
          <w:p w14:paraId="765AE252" w14:textId="77777777" w:rsidR="00D9592A" w:rsidRPr="004132EC" w:rsidRDefault="00D9592A" w:rsidP="00335872">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
              </w:rPr>
            </w:pPr>
            <w:r w:rsidRPr="004132EC">
              <w:rPr>
                <w:rFonts w:ascii="Times New Roman" w:hAnsi="Times New Roman" w:cs="Times New Roman"/>
                <w:sz w:val="24"/>
                <w:szCs w:val="24"/>
              </w:rPr>
              <w:t>0,18</w:t>
            </w:r>
          </w:p>
        </w:tc>
        <w:tc>
          <w:tcPr>
            <w:tcW w:w="1559" w:type="dxa"/>
          </w:tcPr>
          <w:p w14:paraId="17A954DC" w14:textId="77777777" w:rsidR="00D9592A" w:rsidRPr="004132EC" w:rsidRDefault="00D9592A" w:rsidP="00335872">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32EC">
              <w:rPr>
                <w:rFonts w:ascii="Times New Roman" w:hAnsi="Times New Roman" w:cs="Times New Roman"/>
                <w:sz w:val="24"/>
                <w:szCs w:val="24"/>
                <w:lang w:val="en-US"/>
              </w:rPr>
              <w:t>Low</w:t>
            </w:r>
          </w:p>
        </w:tc>
      </w:tr>
      <w:bookmarkEnd w:id="3"/>
    </w:tbl>
    <w:p w14:paraId="059BE744" w14:textId="77777777" w:rsidR="00D9592A" w:rsidRPr="005E2CEB" w:rsidRDefault="00D9592A" w:rsidP="00D9592A">
      <w:pPr>
        <w:spacing w:after="0" w:line="240" w:lineRule="auto"/>
        <w:jc w:val="both"/>
        <w:rPr>
          <w:rFonts w:ascii="Cambria" w:hAnsi="Cambria"/>
          <w:sz w:val="24"/>
          <w:szCs w:val="24"/>
          <w:lang w:val="en-ID"/>
        </w:rPr>
      </w:pPr>
    </w:p>
    <w:p w14:paraId="74B0AADE" w14:textId="407CF3A0" w:rsidR="00D9592A" w:rsidRPr="00D9592A" w:rsidRDefault="00D9592A" w:rsidP="004132EC">
      <w:pPr>
        <w:spacing w:after="24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The increase in the environmental literacy skills in ecological knowledge of students who used the teaching materials, both in the overall and per-item mean scores, was higher than that of students who used common textbooks. N-gain analysis is described in more detail regarding the differences percentage of students with the improvement of environmental literacy in each category, described in Graphic  1.</w:t>
      </w:r>
    </w:p>
    <w:p w14:paraId="3898020E" w14:textId="7FDA753F" w:rsidR="00D9592A" w:rsidRPr="00D9592A" w:rsidRDefault="00D9592A" w:rsidP="004132EC">
      <w:pPr>
        <w:spacing w:after="0" w:line="240" w:lineRule="auto"/>
        <w:ind w:firstLine="567"/>
        <w:jc w:val="center"/>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Graphic 1.</w:t>
      </w:r>
    </w:p>
    <w:p w14:paraId="20B71B41" w14:textId="7AD0EA98" w:rsidR="00D9592A" w:rsidRDefault="004132EC" w:rsidP="004132EC">
      <w:pPr>
        <w:spacing w:after="240" w:line="240" w:lineRule="auto"/>
        <w:ind w:firstLine="567"/>
        <w:jc w:val="center"/>
        <w:rPr>
          <w:rFonts w:ascii="Times New Roman" w:eastAsia="Times New Roman" w:hAnsi="Times New Roman" w:cs="Times New Roman"/>
          <w:sz w:val="24"/>
          <w:szCs w:val="24"/>
          <w:lang w:val="en-US"/>
        </w:rPr>
      </w:pPr>
      <w:r>
        <w:rPr>
          <w:noProof/>
          <w:lang w:eastAsia="id-ID"/>
        </w:rPr>
        <w:drawing>
          <wp:anchor distT="0" distB="0" distL="114300" distR="114300" simplePos="0" relativeHeight="251658240" behindDoc="1" locked="0" layoutInCell="1" allowOverlap="1" wp14:anchorId="28D95B86" wp14:editId="04B8BF5C">
            <wp:simplePos x="0" y="0"/>
            <wp:positionH relativeFrom="column">
              <wp:posOffset>847725</wp:posOffset>
            </wp:positionH>
            <wp:positionV relativeFrom="paragraph">
              <wp:posOffset>469900</wp:posOffset>
            </wp:positionV>
            <wp:extent cx="4373593" cy="2337758"/>
            <wp:effectExtent l="0" t="0" r="8255" b="5715"/>
            <wp:wrapTight wrapText="bothSides">
              <wp:wrapPolygon edited="0">
                <wp:start x="0" y="0"/>
                <wp:lineTo x="0" y="21477"/>
                <wp:lineTo x="21547" y="21477"/>
                <wp:lineTo x="21547"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9592A" w:rsidRPr="00D9592A">
        <w:rPr>
          <w:rFonts w:ascii="Times New Roman" w:eastAsia="Times New Roman" w:hAnsi="Times New Roman" w:cs="Times New Roman"/>
          <w:sz w:val="24"/>
          <w:szCs w:val="24"/>
          <w:lang w:val="en-US"/>
        </w:rPr>
        <w:t>Percentage of the students number based on Environmental Literacy Improvement Category</w:t>
      </w:r>
    </w:p>
    <w:p w14:paraId="141252CB" w14:textId="707AB47A" w:rsidR="004132EC" w:rsidRDefault="004132EC" w:rsidP="00D9592A">
      <w:pPr>
        <w:spacing w:after="240" w:line="240" w:lineRule="auto"/>
        <w:ind w:firstLine="567"/>
        <w:jc w:val="both"/>
        <w:rPr>
          <w:rFonts w:ascii="Times New Roman" w:eastAsia="Times New Roman" w:hAnsi="Times New Roman" w:cs="Times New Roman"/>
          <w:sz w:val="24"/>
          <w:szCs w:val="24"/>
          <w:lang w:val="en-US"/>
        </w:rPr>
      </w:pPr>
    </w:p>
    <w:p w14:paraId="6C13DC07" w14:textId="13A4990C" w:rsidR="00D9592A" w:rsidRDefault="00D9592A" w:rsidP="00D9592A">
      <w:pPr>
        <w:spacing w:after="240" w:line="240" w:lineRule="auto"/>
        <w:ind w:firstLine="567"/>
        <w:jc w:val="both"/>
        <w:rPr>
          <w:rFonts w:ascii="Times New Roman" w:eastAsia="Times New Roman" w:hAnsi="Times New Roman" w:cs="Times New Roman"/>
          <w:sz w:val="24"/>
          <w:szCs w:val="24"/>
          <w:lang w:val="en-US"/>
        </w:rPr>
      </w:pPr>
    </w:p>
    <w:p w14:paraId="386FFE90" w14:textId="2C90162F" w:rsidR="00D9592A" w:rsidRPr="00D9592A" w:rsidRDefault="00D9592A" w:rsidP="004132EC">
      <w:pPr>
        <w:spacing w:after="24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lastRenderedPageBreak/>
        <w:t>Furthermore, beside the increasing students’ environmental literacy in ecological knowledge, the developed teaching material stimulate student’s environmental sensitivity. The increasing of students’ sensitivity to the environment caused by students’ awareness from learning are able to enhance behavior towards a responsible environment and build personality of the students (Wirdianti et al., 2019). Other efforts are carried out through strengthening the source of learning as a teaching material and environmental material in the education curriculum in secondary schools. It will be followed by increasing attitudes and behaviors which become a part of environmental literacy (Varoglu et al., 2018). Some activities are carried out to increase students’ sensitivity to the environment through the school literacy movement with the appropiate learning source. The source of learning like developed teaching material based ESD is expected to be able to train activities to identify, analyze, evaluate issues, and plan actions against local environmental problem. Environment-based learning is effective in increasing students’ attitudes and knowledge(Schmitz &amp; Da Rocha, 2018).</w:t>
      </w:r>
    </w:p>
    <w:p w14:paraId="3B85A9F6" w14:textId="77777777" w:rsidR="00D9592A" w:rsidRPr="00D9592A" w:rsidRDefault="00D9592A" w:rsidP="004132EC">
      <w:pPr>
        <w:tabs>
          <w:tab w:val="left" w:pos="284"/>
        </w:tabs>
        <w:spacing w:after="0" w:line="240" w:lineRule="auto"/>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3.</w:t>
      </w:r>
      <w:r w:rsidRPr="00D9592A">
        <w:rPr>
          <w:rFonts w:ascii="Times New Roman" w:eastAsia="Times New Roman" w:hAnsi="Times New Roman" w:cs="Times New Roman"/>
          <w:sz w:val="24"/>
          <w:szCs w:val="24"/>
          <w:lang w:val="en-US"/>
        </w:rPr>
        <w:tab/>
      </w:r>
      <w:r w:rsidRPr="004132EC">
        <w:rPr>
          <w:rFonts w:ascii="Times New Roman" w:eastAsia="Times New Roman" w:hAnsi="Times New Roman" w:cs="Times New Roman"/>
          <w:b/>
          <w:sz w:val="24"/>
          <w:szCs w:val="24"/>
          <w:lang w:val="en-US"/>
        </w:rPr>
        <w:t>The Effectiveness of Using Teaching Materials on Environmental Literacy</w:t>
      </w:r>
    </w:p>
    <w:p w14:paraId="1412F81F" w14:textId="41760830" w:rsidR="00F25F52" w:rsidRPr="004132EC" w:rsidRDefault="00D9592A" w:rsidP="004132EC">
      <w:pPr>
        <w:spacing w:after="240" w:line="240" w:lineRule="auto"/>
        <w:ind w:firstLine="567"/>
        <w:jc w:val="both"/>
        <w:rPr>
          <w:rFonts w:ascii="Times New Roman" w:eastAsia="Times New Roman" w:hAnsi="Times New Roman" w:cs="Times New Roman"/>
          <w:sz w:val="24"/>
          <w:szCs w:val="24"/>
          <w:lang w:val="en-US"/>
        </w:rPr>
      </w:pPr>
      <w:r w:rsidRPr="00D9592A">
        <w:rPr>
          <w:rFonts w:ascii="Times New Roman" w:eastAsia="Times New Roman" w:hAnsi="Times New Roman" w:cs="Times New Roman"/>
          <w:sz w:val="24"/>
          <w:szCs w:val="24"/>
          <w:lang w:val="en-US"/>
        </w:rPr>
        <w:t>To determine the effectiveness of the teaching materials, an effect size  was used. The effect size test aims to find out how much influence the use of mobile learning teaching materials based ESD has on environmental literacy. The results analysis of the coefficient measuring the effect size of mobile learning teaching materials on environmental literacy are 1,2 with medium criteria.</w:t>
      </w:r>
    </w:p>
    <w:p w14:paraId="5F9F5994" w14:textId="2B66713D" w:rsidR="00F25F52" w:rsidRPr="004132EC" w:rsidRDefault="00F25F52" w:rsidP="00F25F52">
      <w:pPr>
        <w:pStyle w:val="ListParagraph"/>
        <w:spacing w:after="0" w:line="240" w:lineRule="auto"/>
        <w:ind w:left="0" w:firstLine="630"/>
        <w:jc w:val="center"/>
        <w:rPr>
          <w:rFonts w:ascii="Times New Roman" w:hAnsi="Times New Roman" w:cs="Times New Roman"/>
          <w:sz w:val="24"/>
          <w:szCs w:val="24"/>
        </w:rPr>
      </w:pPr>
      <w:r w:rsidRPr="004132EC">
        <w:rPr>
          <w:rFonts w:ascii="Times New Roman" w:hAnsi="Times New Roman" w:cs="Times New Roman"/>
          <w:sz w:val="24"/>
          <w:szCs w:val="24"/>
        </w:rPr>
        <w:t>Table 2.</w:t>
      </w:r>
    </w:p>
    <w:p w14:paraId="7F3C6D63" w14:textId="77777777" w:rsidR="00F25F52" w:rsidRPr="004132EC" w:rsidRDefault="00F25F52" w:rsidP="00F25F52">
      <w:pPr>
        <w:pStyle w:val="ListParagraph"/>
        <w:spacing w:after="0" w:line="240" w:lineRule="auto"/>
        <w:ind w:left="0"/>
        <w:jc w:val="center"/>
        <w:rPr>
          <w:rFonts w:ascii="Times New Roman" w:hAnsi="Times New Roman" w:cs="Times New Roman"/>
          <w:sz w:val="24"/>
          <w:szCs w:val="24"/>
        </w:rPr>
      </w:pPr>
      <w:bookmarkStart w:id="4" w:name="_Hlk169641456"/>
      <w:r w:rsidRPr="004132EC">
        <w:rPr>
          <w:rFonts w:ascii="Times New Roman" w:hAnsi="Times New Roman" w:cs="Times New Roman"/>
          <w:sz w:val="24"/>
          <w:szCs w:val="24"/>
        </w:rPr>
        <w:t>Results analysis of the mobile learning teaching material impact on environmental literacy compared to standard textbooks.</w:t>
      </w:r>
    </w:p>
    <w:tbl>
      <w:tblPr>
        <w:tblStyle w:val="TableGrid"/>
        <w:tblW w:w="0" w:type="auto"/>
        <w:tblInd w:w="683" w:type="dxa"/>
        <w:tblLook w:val="04A0" w:firstRow="1" w:lastRow="0" w:firstColumn="1" w:lastColumn="0" w:noHBand="0" w:noVBand="1"/>
      </w:tblPr>
      <w:tblGrid>
        <w:gridCol w:w="1092"/>
        <w:gridCol w:w="1092"/>
        <w:gridCol w:w="1092"/>
        <w:gridCol w:w="1092"/>
        <w:gridCol w:w="1092"/>
        <w:gridCol w:w="1092"/>
        <w:gridCol w:w="1092"/>
      </w:tblGrid>
      <w:tr w:rsidR="00F25F52" w:rsidRPr="004132EC" w14:paraId="3A48EE11" w14:textId="77777777" w:rsidTr="004132EC">
        <w:tc>
          <w:tcPr>
            <w:tcW w:w="1092" w:type="dxa"/>
          </w:tcPr>
          <w:p w14:paraId="63850B56"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bookmarkStart w:id="5" w:name="_Hlk169641709"/>
            <w:bookmarkEnd w:id="4"/>
            <w:r w:rsidRPr="004132EC">
              <w:rPr>
                <w:rFonts w:ascii="Times New Roman" w:hAnsi="Times New Roman" w:cs="Times New Roman"/>
                <w:position w:val="1"/>
                <w:sz w:val="24"/>
                <w:szCs w:val="24"/>
              </w:rPr>
              <w:t>M</w:t>
            </w:r>
            <w:r w:rsidRPr="004132EC">
              <w:rPr>
                <w:rFonts w:ascii="Times New Roman" w:hAnsi="Times New Roman" w:cs="Times New Roman"/>
                <w:sz w:val="24"/>
                <w:szCs w:val="24"/>
              </w:rPr>
              <w:t>E</w:t>
            </w:r>
          </w:p>
        </w:tc>
        <w:tc>
          <w:tcPr>
            <w:tcW w:w="1092" w:type="dxa"/>
          </w:tcPr>
          <w:p w14:paraId="0210DFC0"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position w:val="1"/>
                <w:sz w:val="24"/>
                <w:szCs w:val="24"/>
              </w:rPr>
              <w:t>M</w:t>
            </w:r>
            <w:r w:rsidRPr="004132EC">
              <w:rPr>
                <w:rFonts w:ascii="Times New Roman" w:hAnsi="Times New Roman" w:cs="Times New Roman"/>
                <w:sz w:val="24"/>
                <w:szCs w:val="24"/>
              </w:rPr>
              <w:t>C</w:t>
            </w:r>
          </w:p>
        </w:tc>
        <w:tc>
          <w:tcPr>
            <w:tcW w:w="1092" w:type="dxa"/>
          </w:tcPr>
          <w:p w14:paraId="5C6485BD"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position w:val="1"/>
                <w:sz w:val="24"/>
                <w:szCs w:val="24"/>
              </w:rPr>
              <w:t>SD</w:t>
            </w:r>
            <w:r w:rsidRPr="004132EC">
              <w:rPr>
                <w:rFonts w:ascii="Times New Roman" w:hAnsi="Times New Roman" w:cs="Times New Roman"/>
                <w:sz w:val="24"/>
                <w:szCs w:val="24"/>
              </w:rPr>
              <w:t>E</w:t>
            </w:r>
          </w:p>
        </w:tc>
        <w:tc>
          <w:tcPr>
            <w:tcW w:w="1092" w:type="dxa"/>
          </w:tcPr>
          <w:p w14:paraId="176B9E53"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position w:val="1"/>
                <w:sz w:val="24"/>
                <w:szCs w:val="24"/>
              </w:rPr>
              <w:t>SD</w:t>
            </w:r>
            <w:r w:rsidRPr="004132EC">
              <w:rPr>
                <w:rFonts w:ascii="Times New Roman" w:hAnsi="Times New Roman" w:cs="Times New Roman"/>
                <w:sz w:val="24"/>
                <w:szCs w:val="24"/>
              </w:rPr>
              <w:t>C</w:t>
            </w:r>
          </w:p>
        </w:tc>
        <w:tc>
          <w:tcPr>
            <w:tcW w:w="1092" w:type="dxa"/>
          </w:tcPr>
          <w:p w14:paraId="16A58788"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position w:val="1"/>
                <w:sz w:val="24"/>
                <w:szCs w:val="24"/>
              </w:rPr>
              <w:t>N</w:t>
            </w:r>
            <w:r w:rsidRPr="004132EC">
              <w:rPr>
                <w:rFonts w:ascii="Times New Roman" w:hAnsi="Times New Roman" w:cs="Times New Roman"/>
                <w:sz w:val="24"/>
                <w:szCs w:val="24"/>
              </w:rPr>
              <w:t>Total</w:t>
            </w:r>
          </w:p>
        </w:tc>
        <w:tc>
          <w:tcPr>
            <w:tcW w:w="1092" w:type="dxa"/>
          </w:tcPr>
          <w:p w14:paraId="674D3AC7"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sz w:val="24"/>
                <w:szCs w:val="24"/>
              </w:rPr>
              <w:t>Cohen d</w:t>
            </w:r>
          </w:p>
        </w:tc>
        <w:tc>
          <w:tcPr>
            <w:tcW w:w="1092" w:type="dxa"/>
          </w:tcPr>
          <w:p w14:paraId="18D4E459"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sz w:val="24"/>
                <w:szCs w:val="24"/>
              </w:rPr>
              <w:t>Criteria</w:t>
            </w:r>
          </w:p>
        </w:tc>
      </w:tr>
      <w:tr w:rsidR="00F25F52" w:rsidRPr="004132EC" w14:paraId="65BAB5BC" w14:textId="77777777" w:rsidTr="004132EC">
        <w:tc>
          <w:tcPr>
            <w:tcW w:w="1092" w:type="dxa"/>
          </w:tcPr>
          <w:p w14:paraId="1AE1E3CF"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eastAsiaTheme="minorHAnsi" w:hAnsi="Times New Roman" w:cs="Times New Roman"/>
                <w:sz w:val="24"/>
                <w:szCs w:val="24"/>
                <w:lang w:val="en-ID"/>
              </w:rPr>
              <w:t>41,58</w:t>
            </w:r>
          </w:p>
        </w:tc>
        <w:tc>
          <w:tcPr>
            <w:tcW w:w="1092" w:type="dxa"/>
          </w:tcPr>
          <w:p w14:paraId="66ED49AC"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eastAsiaTheme="minorHAnsi" w:hAnsi="Times New Roman" w:cs="Times New Roman"/>
                <w:sz w:val="24"/>
                <w:szCs w:val="24"/>
                <w:lang w:val="en-ID"/>
              </w:rPr>
              <w:t>18,57</w:t>
            </w:r>
          </w:p>
        </w:tc>
        <w:tc>
          <w:tcPr>
            <w:tcW w:w="1092" w:type="dxa"/>
          </w:tcPr>
          <w:p w14:paraId="383044A5"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eastAsiaTheme="minorHAnsi" w:hAnsi="Times New Roman" w:cs="Times New Roman"/>
                <w:sz w:val="24"/>
                <w:szCs w:val="24"/>
                <w:lang w:val="en-ID"/>
              </w:rPr>
              <w:t>19,94</w:t>
            </w:r>
          </w:p>
        </w:tc>
        <w:tc>
          <w:tcPr>
            <w:tcW w:w="1092" w:type="dxa"/>
          </w:tcPr>
          <w:p w14:paraId="2EC63CC4"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eastAsiaTheme="minorHAnsi" w:hAnsi="Times New Roman" w:cs="Times New Roman"/>
                <w:sz w:val="24"/>
                <w:szCs w:val="24"/>
                <w:lang w:val="en-ID"/>
              </w:rPr>
              <w:t>16,58</w:t>
            </w:r>
          </w:p>
        </w:tc>
        <w:tc>
          <w:tcPr>
            <w:tcW w:w="1092" w:type="dxa"/>
          </w:tcPr>
          <w:p w14:paraId="06160858"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sz w:val="24"/>
              </w:rPr>
              <w:t>58</w:t>
            </w:r>
          </w:p>
        </w:tc>
        <w:tc>
          <w:tcPr>
            <w:tcW w:w="1092" w:type="dxa"/>
          </w:tcPr>
          <w:p w14:paraId="164AC2FB"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sz w:val="24"/>
              </w:rPr>
              <w:t>1,2</w:t>
            </w:r>
          </w:p>
        </w:tc>
        <w:tc>
          <w:tcPr>
            <w:tcW w:w="1092" w:type="dxa"/>
          </w:tcPr>
          <w:p w14:paraId="4D26D4B3" w14:textId="77777777" w:rsidR="00F25F52" w:rsidRPr="004132EC" w:rsidRDefault="00F25F52" w:rsidP="00335872">
            <w:pPr>
              <w:pStyle w:val="ListParagraph"/>
              <w:spacing w:after="0" w:line="240" w:lineRule="auto"/>
              <w:ind w:left="0"/>
              <w:jc w:val="center"/>
              <w:rPr>
                <w:rFonts w:ascii="Times New Roman" w:hAnsi="Times New Roman" w:cs="Times New Roman"/>
                <w:sz w:val="24"/>
                <w:szCs w:val="24"/>
              </w:rPr>
            </w:pPr>
            <w:r w:rsidRPr="004132EC">
              <w:rPr>
                <w:rFonts w:ascii="Times New Roman" w:hAnsi="Times New Roman" w:cs="Times New Roman"/>
                <w:sz w:val="24"/>
                <w:szCs w:val="24"/>
              </w:rPr>
              <w:t>Very High</w:t>
            </w:r>
          </w:p>
        </w:tc>
      </w:tr>
    </w:tbl>
    <w:bookmarkEnd w:id="5"/>
    <w:p w14:paraId="47551486" w14:textId="77777777"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 xml:space="preserve">Based on the result analysis found that there is improvement of students’ environmental literacy skill. The improvement in the experimental class was higher than in the control class. Thus,  the use of developed teaching materials can improve students' environmental literacy skills compared with the common textbook used in the school. The developed teaching materials  has several characteristics. The former, teaching material developed based Education Sustainable Development (ESD). Education Sustainable Development aims to develop Competencies that empower to consider personal actions, considering current and future social, cultural, economic and environmental impacts (Klarin, 2018; Perello-Marín et al., 2018). </w:t>
      </w:r>
    </w:p>
    <w:p w14:paraId="260138F7" w14:textId="77777777"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The ESD (Educational Sustainable Development) program implemented continuously in schools is able to develop environmental literacy in students (Oh et al., n.d.).  To be able to build  students’ character who care about the environment, a teacher should be able to apply ESD values in learning (Didham &amp; Ofei-Manu, 2020). One indicator of environmental care can be measured through the level of environmental literacy (Hermawan, 2018).</w:t>
      </w:r>
    </w:p>
    <w:p w14:paraId="17F31EDE" w14:textId="77777777"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In this way, students not only learn about science but also deep understanding of environmental problems, eco friendly technology for sustainable life as well as non-eco friendly technology and its impact on sustainable life. The findings (Suryawati et al., 2020) showed that Learning with environmental issue could significantly improve students’ environmental literacy. This study also shows that students need learning and activities related to the environment, as stated by (Dian Pratiwi &amp; Komala, 2019). The practice of environmental education will directly enhance one’s ability to obtain, change, and apply environmental knowledge that accumulates in the right attitude towards the environment (Zheng et al., 2017).</w:t>
      </w:r>
    </w:p>
    <w:p w14:paraId="64F3FAE5" w14:textId="77777777"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 xml:space="preserve">Second, the use of  developed teaching materials are student-centered and material developed contextually. The development of teaching materials is developed with user friendly so that students will not depend on the teacher's explanations. Moreover, teaching materials and exercises are arranged contextually, so it ease students to understand. The exercises are prepared based on the suitability of the content of the material and environmental literacy </w:t>
      </w:r>
      <w:r w:rsidRPr="00F25F52">
        <w:rPr>
          <w:rFonts w:ascii="Times New Roman" w:eastAsia="Times New Roman" w:hAnsi="Times New Roman" w:cs="Times New Roman"/>
          <w:sz w:val="24"/>
          <w:szCs w:val="24"/>
          <w:lang w:val="en-US"/>
        </w:rPr>
        <w:lastRenderedPageBreak/>
        <w:t>indicators  in various representations  to provide the information needed by students. Moreover the materials delivered related with students’ life. Research that conducted by (Doyan &amp; Sukmantara, 2014; Ilhami et al., 2019) states that the application of learning science with a contextual material can Help students strengthen concepts the science they gain so that they have the ability Students' environmental literacy also increases. The development of teaching materials integrated environmental issues must be precise and efficient so as to provide maximum learning outcomes in students (Azhary et al., 2020). Thus, learning resources that Utilizing the surrounding environment can also increase environmental literacy with significant result (Fajeriadi et al., 2019; Hekmah et al., 2019)</w:t>
      </w:r>
    </w:p>
    <w:p w14:paraId="7EED11A2" w14:textId="77777777"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Third, the developed teaching materials are integrated with technology. There are various visual media and forms of concept representation such as pictures, videos, graphics, as a form of technological development, it makes teaching materials more interesting and easier to access anywhere. In learning, the use of visual media can increase learning that is more interesting and interactive(Chao, 2019). Learning with more than one representation will encourage students to reason and reflect on the similarities and differences between the representations to gain a better understanding of the matery (Azhary et al., 2020; Sinaga et al., 2022). Technology, helps natural phenomena can be simulated so that they are better represented than when learning through books (Setiawan, et al., 2021). Furthermore, (Höffler et al., 2019) stated that students' interest in learning process is when students are actively involved.</w:t>
      </w:r>
    </w:p>
    <w:p w14:paraId="6225CFBC" w14:textId="781CC015" w:rsid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Fourth, The questions development to measure students' environmental literacy, it is not only limited to questions to explore students' memories but also the addition of stimuli that are close to students' lives which contain ESD aspects.   The stimuli used are taken from daily life problems that are related to economic, social, and  environmental aspects. Moreover it also be taken from problems in students’ surrounding environment, such as the potential eco friendly technology of an area.  It is necessary to consider to the selection of stimuli in developing assessment instruments that should be contextual and interesting (Putranta &amp; Supahar, 2019). Thus, The results of this study that mobile learning materials</w:t>
      </w:r>
      <w:r>
        <w:rPr>
          <w:rFonts w:ascii="Times New Roman" w:eastAsia="Times New Roman" w:hAnsi="Times New Roman" w:cs="Times New Roman"/>
          <w:sz w:val="24"/>
          <w:szCs w:val="24"/>
          <w:lang w:val="en-US"/>
        </w:rPr>
        <w:t xml:space="preserve"> </w:t>
      </w:r>
      <w:r w:rsidRPr="00F25F52">
        <w:rPr>
          <w:rFonts w:ascii="Times New Roman" w:eastAsia="Times New Roman" w:hAnsi="Times New Roman" w:cs="Times New Roman"/>
          <w:sz w:val="24"/>
          <w:szCs w:val="24"/>
          <w:lang w:val="en-US"/>
        </w:rPr>
        <w:t>designed using multiple representations, static and dynamic representation, and also Based ESD were able to improve students’ thinking skills support prior studies (Abdurrahman et al., 2019; Wiyarsi et al., 2018).</w:t>
      </w:r>
    </w:p>
    <w:p w14:paraId="532BBE34" w14:textId="77777777" w:rsidR="00D9592A" w:rsidRDefault="00D9592A" w:rsidP="00C32089">
      <w:pPr>
        <w:spacing w:after="240" w:line="240" w:lineRule="auto"/>
        <w:ind w:firstLine="567"/>
        <w:jc w:val="both"/>
        <w:rPr>
          <w:rFonts w:ascii="Times New Roman" w:eastAsia="Times New Roman" w:hAnsi="Times New Roman" w:cs="Times New Roman"/>
          <w:sz w:val="24"/>
          <w:szCs w:val="24"/>
          <w:lang w:val="en-US"/>
        </w:rPr>
      </w:pPr>
    </w:p>
    <w:p w14:paraId="35B63646" w14:textId="45820ED6"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CONCLUSION </w:t>
      </w:r>
    </w:p>
    <w:p w14:paraId="2DBE59A7" w14:textId="2D812AAB" w:rsidR="00F25F52" w:rsidRPr="00F25F52"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 xml:space="preserve">This study examined the impact of mobile learning teaching materials based ESD in eco friendly technology, distributed and operated on students’ individual smart phones, in training environmental literacy skills in junior high school students. Concepts are presented using multiple representations based ESD. ESD reflects a close relationship with sustainable development, prioritizing knowledge, skills, values and action competencies to integrate society, environment and economy, aspect. environmental literacy skills are trained alongside instruction on the eco friendly technology in experiment and control class. </w:t>
      </w:r>
    </w:p>
    <w:p w14:paraId="2A4CE815" w14:textId="2FD5F87E" w:rsidR="00C32089" w:rsidRDefault="00F25F52" w:rsidP="004132EC">
      <w:pPr>
        <w:spacing w:after="0" w:line="240" w:lineRule="auto"/>
        <w:ind w:firstLine="567"/>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The results of the data analysis show that:  The environmental literacy skills of the experimental group increased with the medium criteria, and the control group increased with low criteria. The increasing in the environmental literacy skills of students who used the teaching materials, both in the overall and per-item mean scores, was higher than that of students who used common textbooks. The effect size test aims to find out how much influence the use of mobile learning teaching materials. The results analysis of the coefficient measuring the effect size of mobile learning teaching materials on environmental literacy skills are 0.71 with medium criteria.</w:t>
      </w:r>
    </w:p>
    <w:p w14:paraId="3EAAD5B6" w14:textId="77777777" w:rsidR="004132EC" w:rsidRPr="002251C0" w:rsidRDefault="004132EC" w:rsidP="004132EC">
      <w:pPr>
        <w:spacing w:after="0" w:line="240" w:lineRule="auto"/>
        <w:ind w:firstLine="567"/>
        <w:jc w:val="both"/>
        <w:rPr>
          <w:rFonts w:ascii="Times New Roman" w:eastAsia="Times New Roman" w:hAnsi="Times New Roman" w:cs="Times New Roman"/>
          <w:sz w:val="24"/>
          <w:szCs w:val="24"/>
          <w:lang w:val="en-US"/>
        </w:rPr>
      </w:pPr>
    </w:p>
    <w:p w14:paraId="6370407F" w14:textId="2795CB59"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RECOMMENDATION </w:t>
      </w:r>
    </w:p>
    <w:p w14:paraId="44703586" w14:textId="58120D5E" w:rsidR="009D4BF5" w:rsidRDefault="009D4BF5" w:rsidP="009D4BF5">
      <w:pPr>
        <w:spacing w:after="0" w:line="240" w:lineRule="auto"/>
        <w:jc w:val="both"/>
        <w:rPr>
          <w:rFonts w:ascii="Times New Roman" w:eastAsia="Times New Roman" w:hAnsi="Times New Roman" w:cs="Times New Roman"/>
          <w:sz w:val="24"/>
          <w:szCs w:val="24"/>
          <w:lang w:val="en-US"/>
        </w:rPr>
      </w:pPr>
      <w:r w:rsidRPr="009D4BF5">
        <w:rPr>
          <w:rFonts w:ascii="Times New Roman" w:eastAsia="Times New Roman" w:hAnsi="Times New Roman" w:cs="Times New Roman"/>
          <w:sz w:val="24"/>
          <w:szCs w:val="24"/>
          <w:lang w:val="en-US"/>
        </w:rPr>
        <w:t xml:space="preserve">       Through further studies, it is expected to explore other topic related to Education Sustainable Development  research topics. Development of integrated science learning materials on the theme of eco friendly technology oriented towards environmental literacy are still limited</w:t>
      </w:r>
      <w:r>
        <w:rPr>
          <w:rFonts w:ascii="Times New Roman" w:eastAsia="Times New Roman" w:hAnsi="Times New Roman" w:cs="Times New Roman"/>
          <w:sz w:val="24"/>
          <w:szCs w:val="24"/>
          <w:lang w:val="en-US"/>
        </w:rPr>
        <w:t xml:space="preserve"> </w:t>
      </w:r>
      <w:r w:rsidRPr="009D4BF5">
        <w:rPr>
          <w:rFonts w:ascii="Times New Roman" w:eastAsia="Times New Roman" w:hAnsi="Times New Roman" w:cs="Times New Roman"/>
          <w:sz w:val="24"/>
          <w:szCs w:val="24"/>
          <w:lang w:val="en-US"/>
        </w:rPr>
        <w:t xml:space="preserve">on a particular concept, it can be developed more to other concept. Moreover,  </w:t>
      </w:r>
      <w:r w:rsidRPr="009D4BF5">
        <w:rPr>
          <w:rFonts w:ascii="Times New Roman" w:eastAsia="Times New Roman" w:hAnsi="Times New Roman" w:cs="Times New Roman"/>
          <w:sz w:val="24"/>
          <w:szCs w:val="24"/>
          <w:lang w:val="en-US"/>
        </w:rPr>
        <w:lastRenderedPageBreak/>
        <w:t>Materials can be developed further</w:t>
      </w:r>
      <w:r>
        <w:rPr>
          <w:rFonts w:ascii="Times New Roman" w:eastAsia="Times New Roman" w:hAnsi="Times New Roman" w:cs="Times New Roman"/>
          <w:sz w:val="24"/>
          <w:szCs w:val="24"/>
          <w:lang w:val="en-US"/>
        </w:rPr>
        <w:t xml:space="preserve"> </w:t>
      </w:r>
      <w:r w:rsidRPr="009D4BF5">
        <w:rPr>
          <w:rFonts w:ascii="Times New Roman" w:eastAsia="Times New Roman" w:hAnsi="Times New Roman" w:cs="Times New Roman"/>
          <w:sz w:val="24"/>
          <w:szCs w:val="24"/>
          <w:lang w:val="en-US"/>
        </w:rPr>
        <w:t>learning that is oriented towards other skill such as problem solving skill.</w:t>
      </w:r>
    </w:p>
    <w:p w14:paraId="7946A03C" w14:textId="77777777" w:rsidR="009D4BF5" w:rsidRPr="009D4BF5" w:rsidRDefault="009D4BF5" w:rsidP="009D4BF5">
      <w:pPr>
        <w:spacing w:after="0" w:line="240" w:lineRule="auto"/>
        <w:rPr>
          <w:rFonts w:ascii="Times New Roman" w:eastAsia="Times New Roman" w:hAnsi="Times New Roman" w:cs="Times New Roman"/>
          <w:sz w:val="24"/>
          <w:szCs w:val="24"/>
          <w:lang w:val="en-US"/>
        </w:rPr>
      </w:pPr>
    </w:p>
    <w:p w14:paraId="68B3CA42" w14:textId="71CE7ABB"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ACKNOWLEDGMENT </w:t>
      </w:r>
    </w:p>
    <w:p w14:paraId="33BA7CE6" w14:textId="77777777" w:rsidR="00F25F52" w:rsidRDefault="00F25F52" w:rsidP="00C32089">
      <w:pPr>
        <w:spacing w:after="0" w:line="240" w:lineRule="auto"/>
        <w:jc w:val="both"/>
        <w:rPr>
          <w:rFonts w:ascii="Times New Roman" w:eastAsia="Times New Roman" w:hAnsi="Times New Roman" w:cs="Times New Roman"/>
          <w:sz w:val="24"/>
          <w:szCs w:val="24"/>
          <w:lang w:val="en-US"/>
        </w:rPr>
      </w:pPr>
      <w:r w:rsidRPr="00F25F52">
        <w:rPr>
          <w:rFonts w:ascii="Times New Roman" w:eastAsia="Times New Roman" w:hAnsi="Times New Roman" w:cs="Times New Roman"/>
          <w:sz w:val="24"/>
          <w:szCs w:val="24"/>
          <w:lang w:val="en-US"/>
        </w:rPr>
        <w:t xml:space="preserve">We state my deep sense of gratefulness to our lectures, Prof. Dr. Parlindungan Sinaga, M.Si, and Dr. Amprasto, M.Si under whose sincere guidance, supervision and support We have been able to complete this study. We are grateful to School of Post-Graduates, Indonesian University of Education., who not only provided numerous opportunities for growth, facilitated and prepared us for a variety of life changes and challenges. </w:t>
      </w:r>
    </w:p>
    <w:p w14:paraId="50B6F873" w14:textId="77777777" w:rsidR="00F25F52" w:rsidRDefault="00F25F52" w:rsidP="00C32089">
      <w:pPr>
        <w:spacing w:after="0" w:line="240" w:lineRule="auto"/>
        <w:jc w:val="both"/>
        <w:rPr>
          <w:rFonts w:ascii="Times New Roman" w:eastAsia="Times New Roman" w:hAnsi="Times New Roman" w:cs="Times New Roman"/>
          <w:b/>
          <w:bCs/>
          <w:sz w:val="24"/>
          <w:szCs w:val="24"/>
          <w:lang w:val="en-US"/>
        </w:rPr>
      </w:pPr>
    </w:p>
    <w:p w14:paraId="7E51B259" w14:textId="2B063115" w:rsidR="00C32089" w:rsidRPr="002251C0" w:rsidRDefault="00C32089" w:rsidP="00C32089">
      <w:pPr>
        <w:spacing w:after="0" w:line="240" w:lineRule="auto"/>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REFERENCES </w:t>
      </w:r>
    </w:p>
    <w:p w14:paraId="1C5DA061" w14:textId="37F67A34" w:rsidR="00820331" w:rsidRDefault="00820331" w:rsidP="00B9669A">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p w14:paraId="3F58AC24"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Abdurrahman, A., Ayu, C., 2</w:t>
      </w:r>
      <w:r w:rsidRPr="00F25F52">
        <w:rPr>
          <w:rFonts w:ascii="Times New Roman" w:hAnsi="Times New Roman" w:cs="Times New Roman"/>
          <w:sz w:val="24"/>
          <w:szCs w:val="24"/>
          <w:shd w:val="clear" w:color="auto" w:fill="FFFFFF"/>
        </w:rPr>
        <w:t>, S., &amp; Jalmo, T. (2019). Implementating Multiple Representation-Based Worksheet to Develop Critical Thinking Skills. Journal of Turkish Science Education, 16(1), 138–155. https://doi.org/10.12973/tused.10271a</w:t>
      </w:r>
    </w:p>
    <w:p w14:paraId="47D0C27C"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Aini, N., Al Muhdhar, M. H. I., Rochman, F., Sumberartha, I. W., Wardhani, W., &amp; Mardiyanti, L. (2021). ANALISIS TINGKAT LITERASI LINGKUNGAN SISWA PADA MUATAN LOKAL PENDIDIKAN LINKUNGAN HIDUP. Jurnal Pendidikan Biologi, 12(1), 40. https://doi.org/10.17977/um052v12i1p40-44</w:t>
      </w:r>
    </w:p>
    <w:p w14:paraId="2EC1EDFB"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Azhary, S. A.-G., Suryadarma, I. G. P., Devitasari, P. I., &amp; Kuswanto, K. (2020). Development of Science E-Flipbook Integrated Illegal Sand Mining on River Basin to Improve Environmental Care Attitude. IJECA (International Journal of Education and Curriculum Application), 3(1), 26. https://doi.org/10.31764/ijeca.v3i1.2036</w:t>
      </w:r>
    </w:p>
    <w:p w14:paraId="60D39557"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Chao, C. M. (2019). Factors determining the behavioral intention to use mobile learning: An application and extension of the UTAUT model. Frontiers in Psychology, 10(JULY). https://doi.org/10.3389/fpsyg.2019.01652</w:t>
      </w:r>
    </w:p>
    <w:p w14:paraId="30151EAC"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Crompton, H., &amp; Burke, D. (2018). The use of mobile learning in higher education: A systematic review. Computers and Education, 123, 53–64. https://doi.org/10.1016/j.compedu.2018.04.007</w:t>
      </w:r>
    </w:p>
    <w:p w14:paraId="35466DD3"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Dian Pratiwi, R., &amp; Komala, R. (2019). The effects of personality and intention to act toward responsible environmental behavior. 5(1), 169–176. https://doi.org/10.22219/jpbi.v5i2.7120</w:t>
      </w:r>
    </w:p>
    <w:p w14:paraId="69EFFA1D"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Didham, R. J., &amp; Ofei-Manu, P. (2020). Adaptive capacity as an educational goal to advance policy for integrating DRR into quality education for sustainable development. International Journal of Disaster Risk Reduction, 47. https://doi.org/10.1016/j.ijdrr.2020.101631</w:t>
      </w:r>
    </w:p>
    <w:p w14:paraId="365B08CC"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Doyan, A., &amp; Sukmantara, I. K. Y. (2014). THE DEVELOPMENT OF PHYSICS INTRANET WEB TO IMPROVE THE CONCEPT COMPREHENSION AND PROBLEM SOLVING SKILLS OF THE STUDENTS OF SMK. Jurnal Pendidikan Fisika Indonesia, 10(2), 117–127. https://doi.org/10.15294/jpfi.v10i2.3348</w:t>
      </w:r>
    </w:p>
    <w:p w14:paraId="5D6D40EA"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Elfeky, A. I. M., &amp; Yakoub Masadeh, T. S. (2016). The Effect of Mobile Learning on Students’ Achievement and Conversational Skills. International Journal of Higher Education, 5(3). https://doi.org/10.5430/ijhe.v5n3p20</w:t>
      </w:r>
    </w:p>
    <w:p w14:paraId="436043CC"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Fajeriadi, H., Lingkungan sebagai Sumber Belajar bagi Siswa Pemanfaatan Lingkungan sebagai Sumber Belajar untuk Meningkatkan Minat dan Hasil Belajar Siswa SMA di Kawasan Pesisir, P., Selatan, K., Menengah Pertama Negeri, S., Tabuk, S., Banjar, K., Studi Magister Pendidikan Biologi, P., Pascasarjana, P., Keguruan dan Ilmu Pendidikan, F., Lambung Mangkurat, U., &amp; Banjarmasin, K. (2019). 66 | Irwandi Utilizing the Environment as a Learning Source to Increase Interest and Learning Outcomes of High School Students in the Coastal Region, South Kalimantan IRWANDI (1) * , HERY FAJERIADI (2). Jurnal Biologi-Inovasi Pendidikan, 1(2), 66–73.</w:t>
      </w:r>
    </w:p>
    <w:p w14:paraId="5F15CD70"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lastRenderedPageBreak/>
        <w:t>Farrah, A. professor Dr. M., &amp; Abu-Dawood, A. K. (2018). Using Mobile Phone Applications in Teaching and Learning Process. International Journal of Research in English Education, 3(2), 48–68. https://doi.org/10.29252/ijree.3.2.48</w:t>
      </w:r>
    </w:p>
    <w:p w14:paraId="627723D7"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Häggström, M., &amp; Schmidt, C. (2020). Enhancing children’s literacy and ecological literacy through critical place-based pedagogy. Environmental Education Research, 26(12), 1729–1745. https://doi.org/10.1080/13504622.2020.1812537</w:t>
      </w:r>
    </w:p>
    <w:p w14:paraId="0FA6ED5D"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Hekmah, N., Wilujeng, I., &amp; Suryadarma, I. G. P. (2019). Web-Lembar Kerja Siswa IPA terintegrasi lingkungan untuk meningkatkan literasi lingkungan siswa. Jurnal Inovasi Pendidikan IPA, 5(2), 129–138. https://doi.org/10.21831/jipi.v5i2.25402</w:t>
      </w:r>
    </w:p>
    <w:p w14:paraId="11ECBEBD"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Höffler, T. N., Köhler, C., &amp; Parchmann, I. (2019). Scientists of the future: an analysis of talented students’ interests. International Journal of STEM Education, 6(1). https://doi.org/10.1186/s40594-019-0184-1</w:t>
      </w:r>
    </w:p>
    <w:p w14:paraId="425E03BE"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Igbokwe, B. (2016). Environmental Literacy Assessment: Assessing the Strength of an Environmental Education Program (EcoSchools) in Ontario Secondary Schools for Environmental Literacy Acquisition.</w:t>
      </w:r>
    </w:p>
    <w:p w14:paraId="2BC27ADF"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Ilhami, A., Riandi, R., &amp; Sriyati, S. (2019). Implementation of science learning with local wisdom approach toward environmental literacy. Journal of Physics: Conference Series, 1157(2). https://doi.org/10.1088/1742-6596/1157/2/022030</w:t>
      </w:r>
    </w:p>
    <w:p w14:paraId="5EF09799"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Kidman, G., &amp; Casinader, N. (2019). Developing teachers’ environmental literacy through inquiry-based practices. Eurasia Journal of Mathematics, Science and Technology Education, 15(6). https://doi.org/10.29333/ejmste/103065</w:t>
      </w:r>
    </w:p>
    <w:p w14:paraId="4EF4B993"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Klarin, T. (2018). The Concept of Sustainable Development: From its Beginning to the Contemporary Issues. Zagreb International Review of Economics and Business, 21(1), 67–94. https://doi.org/10.2478/zireb-2018-0005</w:t>
      </w:r>
    </w:p>
    <w:p w14:paraId="1D8012F2"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Mahaffy, P. G., Matlin, S. A., Whalen, J. M., &amp; Holme, T. A. (2019). Integrating the Molecular Basis of Sustainability into General Chemistry through Systems Thinking. Journal of Chemical Education, 96(12), 2730–2741. https://doi.org/10.1021/acs.jchemed.9b00390</w:t>
      </w:r>
    </w:p>
    <w:p w14:paraId="55639FE2"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O’Flaherty, J., &amp; Liddy, M. (2018). The impact of development education and education for sustainable development interventions: a synthesis of the research. Environmental Education Research, 24(7), 1031–1049. https://doi.org/10.1080/13504622.2017.1392484</w:t>
      </w:r>
    </w:p>
    <w:p w14:paraId="69F9965D"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 xml:space="preserve">Oh, H., -Ju, &amp; Jae-Keun. (n.d.). </w:t>
      </w:r>
      <w:r w:rsidRPr="00F25F52">
        <w:rPr>
          <w:rFonts w:ascii="Malgun Gothic" w:eastAsia="Malgun Gothic" w:hAnsi="Malgun Gothic" w:cs="Malgun Gothic" w:hint="eastAsia"/>
          <w:sz w:val="24"/>
          <w:szCs w:val="24"/>
          <w:shd w:val="clear" w:color="auto" w:fill="FFFFFF"/>
        </w:rPr>
        <w:t>창의적</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체험활동과</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연계한</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초등학교</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지속가능발전교육</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프로그램의</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개발과</w:t>
      </w:r>
      <w:r w:rsidRPr="00F25F52">
        <w:rPr>
          <w:rFonts w:ascii="Times New Roman" w:hAnsi="Times New Roman" w:cs="Times New Roman"/>
          <w:sz w:val="24"/>
          <w:szCs w:val="24"/>
          <w:shd w:val="clear" w:color="auto" w:fill="FFFFFF"/>
        </w:rPr>
        <w:t xml:space="preserve"> </w:t>
      </w:r>
      <w:r w:rsidRPr="00F25F52">
        <w:rPr>
          <w:rFonts w:ascii="Malgun Gothic" w:eastAsia="Malgun Gothic" w:hAnsi="Malgun Gothic" w:cs="Malgun Gothic" w:hint="eastAsia"/>
          <w:sz w:val="24"/>
          <w:szCs w:val="24"/>
          <w:shd w:val="clear" w:color="auto" w:fill="FFFFFF"/>
        </w:rPr>
        <w:t>적용</w:t>
      </w:r>
      <w:r w:rsidRPr="00F25F52">
        <w:rPr>
          <w:rFonts w:ascii="Times New Roman" w:hAnsi="Times New Roman" w:cs="Times New Roman"/>
          <w:sz w:val="24"/>
          <w:szCs w:val="24"/>
          <w:shd w:val="clear" w:color="auto" w:fill="FFFFFF"/>
        </w:rPr>
        <w:t xml:space="preserve"> The Development and Application of Education for Sustainable Development (ESD) Program related to Creative-Experience Activity for Elementary School Students. 1</w:t>
      </w:r>
      <w:r w:rsidRPr="00F25F52">
        <w:rPr>
          <w:rFonts w:ascii="Malgun Gothic" w:eastAsia="Malgun Gothic" w:hAnsi="Malgun Gothic" w:cs="Malgun Gothic" w:hint="eastAsia"/>
          <w:sz w:val="24"/>
          <w:szCs w:val="24"/>
          <w:shd w:val="clear" w:color="auto" w:fill="FFFFFF"/>
        </w:rPr>
        <w:t>심통과</w:t>
      </w:r>
      <w:r w:rsidRPr="00F25F52">
        <w:rPr>
          <w:rFonts w:ascii="Times New Roman" w:hAnsi="Times New Roman" w:cs="Times New Roman"/>
          <w:sz w:val="24"/>
          <w:szCs w:val="24"/>
          <w:shd w:val="clear" w:color="auto" w:fill="FFFFFF"/>
        </w:rPr>
        <w:t>, 316–330. https://doi.org/10.15267/keses.2017.36.4.316</w:t>
      </w:r>
    </w:p>
    <w:p w14:paraId="270A51E4"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Perello-Marín, M. R., Ribes-Giner, G., &amp; Díaz, O. P. (2018). Enhancing education for sustainable development in environmental university programmes: A co-creation approach. Sustainability (Switzerland), 10(1). https://doi.org/10.3390/su10010158</w:t>
      </w:r>
    </w:p>
    <w:p w14:paraId="51F46514"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Putranta, H., &amp; Supahar. (2019). Synthesis of the Cognitive Aspects’ Science Literacy and Higher Order Thinking Skills (HOTS) in Chapter Momentum and Impulse. Journal of Physics: Conference Series, 1397(1). https://doi.org/10.1088/1742-6596/1397/1/012014</w:t>
      </w:r>
    </w:p>
    <w:p w14:paraId="27D69485"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Saribas, D., Teksoz, G., &amp; Ertepinar, H. (2014). The Relationship between Environmental Literacy and Self-efficacy Beliefs toward Environmental Education. Procedia - Social and Behavioral Sciences, 116, 3664–3668. https://doi.org/10.1016/j.sbspro.2014.01.820</w:t>
      </w:r>
    </w:p>
    <w:p w14:paraId="6E0C8D80"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Schmitz, G. L., &amp; Da Rocha, J. B. T. (2018). Environmental Education Program as a Tool to Improve Children’s Environmental Attitudes and Knowledge. 8(2), 15–20. https://doi.org/10.5923/j.edu.20180802.01</w:t>
      </w:r>
    </w:p>
    <w:p w14:paraId="729D69DF"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lastRenderedPageBreak/>
        <w:t>Sinaga, P., Kaniawati, I., &amp; Setiawan, A. (2017). Improving secondary school students’ scientific literacy ability through the design of better science textbooks. Journal of Turkish Science Education, 14(4), 92–107. https://doi.org/10.12973/tused.10215a</w:t>
      </w:r>
    </w:p>
    <w:p w14:paraId="1BF39251"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Sinaga, P., Setiawan, W., &amp; liana, M. (2022). The impact of electronic interactive teaching materials (EITMs) in e-learning on junior high school students’ critical thinking skills. Thinking Skills and Creativity, 46. https://doi.org/10.1016/j.tsc.2022.101066</w:t>
      </w:r>
    </w:p>
    <w:p w14:paraId="6A40DC1B"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Suryawati, E., Suzanti, F., Zulfarina, Putriana, A. R., &amp; Febrianti, L. (2020a). The implementation of local environmental problem-based learning student worksheets to strengthen environmental literacy. Jurnal Pendidikan IPA Indonesia, 9(2), 169–178. https://doi.org/10.15294/jpii.v9i2.22892</w:t>
      </w:r>
    </w:p>
    <w:p w14:paraId="5548D7DE"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Suryawati, E., Suzanti, F., Zulfarina, Putriana, A. R., &amp; Febrianti, L. (2020b). The implementation of local environmental problem-based learning student worksheets to strengthen environmental literacy. Jurnal Pendidikan IPA Indonesia, 9(2), 169–178. https://doi.org/10.15294/jpii.v9i2.22892</w:t>
      </w:r>
    </w:p>
    <w:p w14:paraId="668E343E"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Varoglu, L., Temel, S., &amp; Yilmaz, A. (2018). Knowledge, attitudes and behaviours towards the environmental issues: Case of Northern Cyprus. Eurasia Journal of Mathematics, Science and Technology Education, 14(3), 997–1004. https://doi.org/10.12973/ejmste/81153</w:t>
      </w:r>
    </w:p>
    <w:p w14:paraId="78770B22"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Widodo, W., Sudibyo, E., Suryanti, Sari, D. A. P., Inzanah, &amp; Setiawan, B. (2020). The effectiveness of gadget-based interactive multimedia in improving generation z’s scientific literacy. Jurnal Pendidikan IPA Indonesia, 9(2), 248–256. https://doi.org/10.15294/jpii.v9i2.23208</w:t>
      </w:r>
    </w:p>
    <w:p w14:paraId="09F304AD"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Wirdianti, N., Komala, R., &amp; Miarsyah, M. (2019). Naturalist intelligence and personality: An understanding students’ responsible environmental behavior. JPBI (Jurnal Pendidikan Biologi Indonesia), 5(2), 229–236. https://doi.org/10.22219/jpbi.v5i2.7193</w:t>
      </w:r>
    </w:p>
    <w:p w14:paraId="4B0714EC"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Wiyarsi, A., Sutrisno, H., &amp; Rohaeti, E. (2018). The effect of multiple representation approach on students’ creative thinking skills: A case of “Rate of Reaction” topic. Journal of Physics: Conference Series, 1097(1). https://doi.org/10.1088/1742-6596/1097/1/012054</w:t>
      </w:r>
    </w:p>
    <w:p w14:paraId="69BA84CA"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Yousafzai, A., Chang, V., Gani, A., &amp; Md Noor, R. (n.d.). Multimedia augmented m-learning: Issues, Trends and Open Challenges. http://www.lshtm.ac.uk/edu/elearning/technologies/mobile/</w:t>
      </w:r>
    </w:p>
    <w:p w14:paraId="3385182B" w14:textId="77777777" w:rsidR="00F25F52" w:rsidRPr="00F25F52" w:rsidRDefault="00F25F52" w:rsidP="00F25F5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F25F52">
        <w:rPr>
          <w:rFonts w:ascii="Times New Roman" w:hAnsi="Times New Roman" w:cs="Times New Roman"/>
          <w:sz w:val="24"/>
          <w:szCs w:val="24"/>
          <w:shd w:val="clear" w:color="auto" w:fill="FFFFFF"/>
        </w:rPr>
        <w:t>Zheng, Q., Xu, A., &amp; Kong, D. (2017). Environmental education, knowledge management and professional performance in eco-tourism: The impact relatedness. Eurasia Journal of Mathematics, Science and Technology Education, 13(8), 4679–4687. https://doi.org/10.12973/eurasia.2017.00958a</w:t>
      </w:r>
    </w:p>
    <w:p w14:paraId="05BAFF46" w14:textId="494C59A0" w:rsidR="00F25F52" w:rsidRDefault="00F25F52" w:rsidP="00B9669A">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p w14:paraId="11172D3D" w14:textId="412F3608" w:rsidR="00C102EF" w:rsidRDefault="00C102EF" w:rsidP="00B9669A">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p w14:paraId="1A442CA2" w14:textId="4797A9E3" w:rsidR="00F11320" w:rsidRDefault="00F11320" w:rsidP="00F1132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sectPr w:rsidR="00F11320" w:rsidSect="00D365C0">
      <w:headerReference w:type="even" r:id="rId15"/>
      <w:headerReference w:type="default" r:id="rId16"/>
      <w:footerReference w:type="even" r:id="rId17"/>
      <w:footerReference w:type="default" r:id="rId18"/>
      <w:headerReference w:type="first" r:id="rId19"/>
      <w:footerReference w:type="first" r:id="rId20"/>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E911" w14:textId="77777777" w:rsidR="00CF61C5" w:rsidRDefault="00CF61C5" w:rsidP="000E2BCF">
      <w:pPr>
        <w:spacing w:after="0" w:line="240" w:lineRule="auto"/>
      </w:pPr>
      <w:r>
        <w:separator/>
      </w:r>
    </w:p>
  </w:endnote>
  <w:endnote w:type="continuationSeparator" w:id="0">
    <w:p w14:paraId="6DF13E8E" w14:textId="77777777" w:rsidR="00CF61C5" w:rsidRDefault="00CF61C5"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3B12"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No</w:t>
          </w:r>
          <w:r w:rsidR="00D365C0">
            <w:rPr>
              <w:rFonts w:ascii="Times New Roman" w:hAnsi="Times New Roman" w:cs="Times New Roman"/>
              <w:i/>
              <w:sz w:val="18"/>
              <w:szCs w:val="20"/>
            </w:rPr>
            <w:t>.y</w:t>
          </w:r>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 Vol. x</w:t>
          </w:r>
          <w:r w:rsidRPr="00112689">
            <w:rPr>
              <w:rFonts w:ascii="Times New Roman" w:hAnsi="Times New Roman" w:cs="Times New Roman"/>
              <w:i/>
              <w:sz w:val="18"/>
              <w:szCs w:val="20"/>
            </w:rPr>
            <w:t>, No</w:t>
          </w:r>
          <w:r>
            <w:rPr>
              <w:rFonts w:ascii="Times New Roman" w:hAnsi="Times New Roman" w:cs="Times New Roman"/>
              <w:i/>
              <w:sz w:val="18"/>
              <w:szCs w:val="20"/>
            </w:rPr>
            <w:t>.</w:t>
          </w:r>
          <w:r w:rsidR="00D365C0">
            <w:rPr>
              <w:rFonts w:ascii="Times New Roman" w:hAnsi="Times New Roman" w:cs="Times New Roman"/>
              <w:i/>
              <w:sz w:val="18"/>
              <w:szCs w:val="20"/>
            </w:rPr>
            <w:t>y</w:t>
          </w:r>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F6C7" w14:textId="77777777" w:rsidR="00CF61C5" w:rsidRDefault="00CF61C5" w:rsidP="000E2BCF">
      <w:pPr>
        <w:spacing w:after="0" w:line="240" w:lineRule="auto"/>
      </w:pPr>
      <w:r>
        <w:separator/>
      </w:r>
    </w:p>
  </w:footnote>
  <w:footnote w:type="continuationSeparator" w:id="0">
    <w:p w14:paraId="1D5616C7" w14:textId="77777777" w:rsidR="00CF61C5" w:rsidRDefault="00CF61C5"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020A"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
      </w:tc>
    </w:tr>
  </w:tbl>
  <w:p w14:paraId="244F18D1" w14:textId="77777777" w:rsidR="0049685E" w:rsidRDefault="00496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Sains: Jurnal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Pengkajian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Ilmu</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Pembelajaran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Matematika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 IPA IKIP Mataram</w:t>
          </w:r>
        </w:p>
        <w:p w14:paraId="1A95C418" w14:textId="77777777" w:rsidR="0049685E" w:rsidRPr="00050A0D" w:rsidRDefault="00CF61C5"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xx-yy</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080B"/>
    <w:rsid w:val="00335945"/>
    <w:rsid w:val="003421DA"/>
    <w:rsid w:val="00350FE2"/>
    <w:rsid w:val="0037012F"/>
    <w:rsid w:val="00384E4E"/>
    <w:rsid w:val="003853DA"/>
    <w:rsid w:val="003A50ED"/>
    <w:rsid w:val="003B42E3"/>
    <w:rsid w:val="003B6FBF"/>
    <w:rsid w:val="003C20A8"/>
    <w:rsid w:val="003C29E8"/>
    <w:rsid w:val="003E3375"/>
    <w:rsid w:val="003F397C"/>
    <w:rsid w:val="003F410A"/>
    <w:rsid w:val="00410524"/>
    <w:rsid w:val="004132EC"/>
    <w:rsid w:val="00416861"/>
    <w:rsid w:val="00421E26"/>
    <w:rsid w:val="004231D9"/>
    <w:rsid w:val="00433E49"/>
    <w:rsid w:val="0044029F"/>
    <w:rsid w:val="00441005"/>
    <w:rsid w:val="00446660"/>
    <w:rsid w:val="004533E3"/>
    <w:rsid w:val="00453DDE"/>
    <w:rsid w:val="00456240"/>
    <w:rsid w:val="004607A1"/>
    <w:rsid w:val="0047603E"/>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733"/>
    <w:rsid w:val="005253AF"/>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7D9F"/>
    <w:rsid w:val="0072780E"/>
    <w:rsid w:val="00731FF4"/>
    <w:rsid w:val="00762CC7"/>
    <w:rsid w:val="00775784"/>
    <w:rsid w:val="0078527E"/>
    <w:rsid w:val="007C0DC5"/>
    <w:rsid w:val="007C174A"/>
    <w:rsid w:val="007C3BC1"/>
    <w:rsid w:val="007C76F8"/>
    <w:rsid w:val="007D2966"/>
    <w:rsid w:val="007D470A"/>
    <w:rsid w:val="007E255C"/>
    <w:rsid w:val="007E26B4"/>
    <w:rsid w:val="007F012B"/>
    <w:rsid w:val="007F033E"/>
    <w:rsid w:val="007F0417"/>
    <w:rsid w:val="007F07DE"/>
    <w:rsid w:val="007F1F5B"/>
    <w:rsid w:val="007F7501"/>
    <w:rsid w:val="008155EE"/>
    <w:rsid w:val="00820331"/>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4BF5"/>
    <w:rsid w:val="009D7167"/>
    <w:rsid w:val="009E7680"/>
    <w:rsid w:val="009E7CE8"/>
    <w:rsid w:val="009F2701"/>
    <w:rsid w:val="009F2C54"/>
    <w:rsid w:val="00A005F2"/>
    <w:rsid w:val="00A04082"/>
    <w:rsid w:val="00A11F8E"/>
    <w:rsid w:val="00A3467D"/>
    <w:rsid w:val="00A36E67"/>
    <w:rsid w:val="00A45D20"/>
    <w:rsid w:val="00A50BA2"/>
    <w:rsid w:val="00A57964"/>
    <w:rsid w:val="00A61D91"/>
    <w:rsid w:val="00A66085"/>
    <w:rsid w:val="00AB498E"/>
    <w:rsid w:val="00AB5FF6"/>
    <w:rsid w:val="00AB656C"/>
    <w:rsid w:val="00AB74C8"/>
    <w:rsid w:val="00AD0461"/>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02EF"/>
    <w:rsid w:val="00C12B9D"/>
    <w:rsid w:val="00C154AC"/>
    <w:rsid w:val="00C15717"/>
    <w:rsid w:val="00C301ED"/>
    <w:rsid w:val="00C32089"/>
    <w:rsid w:val="00C371E2"/>
    <w:rsid w:val="00C37250"/>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CF61C5"/>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9592A"/>
    <w:rsid w:val="00DA01B2"/>
    <w:rsid w:val="00DA53AF"/>
    <w:rsid w:val="00DB24B3"/>
    <w:rsid w:val="00DB40AD"/>
    <w:rsid w:val="00DC6F0E"/>
    <w:rsid w:val="00DD3293"/>
    <w:rsid w:val="00DD52DE"/>
    <w:rsid w:val="00DE733F"/>
    <w:rsid w:val="00DF2F6F"/>
    <w:rsid w:val="00E0782D"/>
    <w:rsid w:val="00E176C8"/>
    <w:rsid w:val="00E27CC5"/>
    <w:rsid w:val="00E30924"/>
    <w:rsid w:val="00E324DC"/>
    <w:rsid w:val="00E525DC"/>
    <w:rsid w:val="00E55588"/>
    <w:rsid w:val="00E559A5"/>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1320"/>
    <w:rsid w:val="00F17E40"/>
    <w:rsid w:val="00F20B55"/>
    <w:rsid w:val="00F24A83"/>
    <w:rsid w:val="00F25F52"/>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UnresolvedMention">
    <w:name w:val="Unresolved Mention"/>
    <w:basedOn w:val="DefaultParagraphFont"/>
    <w:uiPriority w:val="99"/>
    <w:semiHidden/>
    <w:unhideWhenUsed/>
    <w:rsid w:val="00C301ED"/>
    <w:rPr>
      <w:color w:val="605E5C"/>
      <w:shd w:val="clear" w:color="auto" w:fill="E1DFDD"/>
    </w:rPr>
  </w:style>
  <w:style w:type="table" w:styleId="PlainTable2">
    <w:name w:val="Plain Table 2"/>
    <w:basedOn w:val="TableNormal"/>
    <w:uiPriority w:val="42"/>
    <w:rsid w:val="004132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faqalbiy@upi.edu"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chart" Target="charts/chart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a:effectLst/>
              </a:rPr>
              <a:t>Percentage of the students number based on Environmental Literacy Improvement Category</a:t>
            </a:r>
          </a:p>
        </c:rich>
      </c:tx>
      <c:layout>
        <c:manualLayout>
          <c:xMode val="edge"/>
          <c:yMode val="edge"/>
          <c:x val="0.1796935685057663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Experiment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c:v>
                </c:pt>
                <c:pt idx="1">
                  <c:v>Medium</c:v>
                </c:pt>
                <c:pt idx="2">
                  <c:v>High</c:v>
                </c:pt>
              </c:strCache>
            </c:strRef>
          </c:cat>
          <c:val>
            <c:numRef>
              <c:f>Sheet1!$B$2:$B$5</c:f>
              <c:numCache>
                <c:formatCode>General</c:formatCode>
                <c:ptCount val="4"/>
                <c:pt idx="0">
                  <c:v>31</c:v>
                </c:pt>
                <c:pt idx="1">
                  <c:v>62</c:v>
                </c:pt>
                <c:pt idx="2">
                  <c:v>7</c:v>
                </c:pt>
              </c:numCache>
            </c:numRef>
          </c:val>
          <c:extLst>
            <c:ext xmlns:c16="http://schemas.microsoft.com/office/drawing/2014/chart" uri="{C3380CC4-5D6E-409C-BE32-E72D297353CC}">
              <c16:uniqueId val="{00000000-BCF2-4611-8B46-EC785635F58B}"/>
            </c:ext>
          </c:extLst>
        </c:ser>
        <c:ser>
          <c:idx val="1"/>
          <c:order val="1"/>
          <c:tx>
            <c:strRef>
              <c:f>Sheet1!$C$1</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c:v>
                </c:pt>
                <c:pt idx="1">
                  <c:v>Medium</c:v>
                </c:pt>
                <c:pt idx="2">
                  <c:v>High</c:v>
                </c:pt>
              </c:strCache>
            </c:strRef>
          </c:cat>
          <c:val>
            <c:numRef>
              <c:f>Sheet1!$C$2:$C$5</c:f>
              <c:numCache>
                <c:formatCode>General</c:formatCode>
                <c:ptCount val="4"/>
                <c:pt idx="0">
                  <c:v>86.2</c:v>
                </c:pt>
                <c:pt idx="1">
                  <c:v>13.8</c:v>
                </c:pt>
                <c:pt idx="2">
                  <c:v>0</c:v>
                </c:pt>
              </c:numCache>
            </c:numRef>
          </c:val>
          <c:extLst>
            <c:ext xmlns:c16="http://schemas.microsoft.com/office/drawing/2014/chart" uri="{C3380CC4-5D6E-409C-BE32-E72D297353CC}">
              <c16:uniqueId val="{00000001-BCF2-4611-8B46-EC785635F58B}"/>
            </c:ext>
          </c:extLst>
        </c:ser>
        <c:dLbls>
          <c:showLegendKey val="0"/>
          <c:showVal val="1"/>
          <c:showCatName val="0"/>
          <c:showSerName val="0"/>
          <c:showPercent val="0"/>
          <c:showBubbleSize val="0"/>
        </c:dLbls>
        <c:gapWidth val="150"/>
        <c:shape val="box"/>
        <c:axId val="1452782976"/>
        <c:axId val="1452781344"/>
        <c:axId val="0"/>
      </c:bar3DChart>
      <c:catAx>
        <c:axId val="1452782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N-Gain Interpretation Category</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81344"/>
        <c:crosses val="autoZero"/>
        <c:auto val="1"/>
        <c:lblAlgn val="ctr"/>
        <c:lblOffset val="100"/>
        <c:noMultiLvlLbl val="0"/>
      </c:catAx>
      <c:valAx>
        <c:axId val="145278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Percentage</a:t>
                </a:r>
                <a:r>
                  <a:rPr lang="en-ID" baseline="0"/>
                  <a:t> of students' number</a:t>
                </a:r>
                <a:endParaRPr lang="id-ID"/>
              </a:p>
            </c:rich>
          </c:tx>
          <c:layout>
            <c:manualLayout>
              <c:xMode val="edge"/>
              <c:yMode val="edge"/>
              <c:x val="9.3531005008866408E-2"/>
              <c:y val="0.107905460472697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D7EF888-04FB-4F48-A02A-560D528E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Syifa Qalbiy</cp:lastModifiedBy>
  <cp:revision>6</cp:revision>
  <cp:lastPrinted>2019-12-19T03:42:00Z</cp:lastPrinted>
  <dcterms:created xsi:type="dcterms:W3CDTF">2024-06-19T03:35:00Z</dcterms:created>
  <dcterms:modified xsi:type="dcterms:W3CDTF">2024-07-02T19:40:00Z</dcterms:modified>
</cp:coreProperties>
</file>